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eastAsia="Times New Roman" w:cs="Times New Roman"/>
          <w:sz w:val="24"/>
          <w:szCs w:val="24"/>
        </w:rPr>
      </w:pPr>
      <w:bookmarkStart w:id="0" w:name="_GoBack"/>
      <w:bookmarkEnd w:id="0"/>
      <w:r>
        <w:rPr>
          <w:rFonts w:hint="eastAsia" w:ascii="黑体" w:hAnsi="黑体" w:eastAsia="黑体" w:cs="黑体"/>
          <w:sz w:val="24"/>
          <w:szCs w:val="24"/>
        </w:rPr>
        <w:t>附件</w:t>
      </w:r>
      <w:r>
        <w:rPr>
          <w:rFonts w:ascii="黑体" w:hAnsi="黑体" w:eastAsia="黑体" w:cs="黑体"/>
          <w:sz w:val="24"/>
          <w:szCs w:val="24"/>
        </w:rPr>
        <w:t>1</w:t>
      </w:r>
      <w:r>
        <w:rPr>
          <w:rFonts w:hint="eastAsia" w:ascii="黑体" w:hAnsi="黑体" w:eastAsia="黑体" w:cs="黑体"/>
          <w:sz w:val="24"/>
          <w:szCs w:val="24"/>
        </w:rPr>
        <w:t>：</w:t>
      </w:r>
    </w:p>
    <w:p>
      <w:pPr>
        <w:spacing w:line="540" w:lineRule="exact"/>
        <w:rPr>
          <w:rFonts w:eastAsia="Times New Roman" w:cs="Times New Roman"/>
          <w:sz w:val="24"/>
          <w:szCs w:val="24"/>
        </w:rPr>
      </w:pPr>
    </w:p>
    <w:p>
      <w:pPr>
        <w:spacing w:line="540" w:lineRule="exact"/>
        <w:jc w:val="center"/>
        <w:rPr>
          <w:rFonts w:ascii="宋体"/>
          <w:sz w:val="36"/>
          <w:szCs w:val="36"/>
        </w:rPr>
      </w:pPr>
      <w:r>
        <w:rPr>
          <w:rFonts w:ascii="宋体" w:hAnsi="宋体"/>
          <w:sz w:val="36"/>
          <w:szCs w:val="36"/>
        </w:rPr>
        <w:t>2018</w:t>
      </w:r>
      <w:r>
        <w:rPr>
          <w:rFonts w:hint="eastAsia" w:ascii="宋体" w:hAnsi="宋体"/>
          <w:sz w:val="36"/>
          <w:szCs w:val="36"/>
        </w:rPr>
        <w:t>年度</w:t>
      </w:r>
      <w:r>
        <w:rPr>
          <w:rFonts w:hint="eastAsia" w:ascii="宋体" w:hAnsi="宋体"/>
          <w:kern w:val="0"/>
          <w:sz w:val="36"/>
          <w:szCs w:val="36"/>
        </w:rPr>
        <w:t>新疆昌吉玛纳斯县财政局</w:t>
      </w:r>
      <w:r>
        <w:rPr>
          <w:rFonts w:hint="eastAsia" w:ascii="宋体" w:hAnsi="宋体"/>
          <w:sz w:val="36"/>
          <w:szCs w:val="36"/>
        </w:rPr>
        <w:t>部门决算公开说明</w:t>
      </w:r>
    </w:p>
    <w:p>
      <w:pPr>
        <w:spacing w:line="540" w:lineRule="exact"/>
        <w:rPr>
          <w:rFonts w:eastAsia="Times New Roman" w:cs="Times New Roman"/>
          <w:sz w:val="24"/>
          <w:szCs w:val="24"/>
        </w:rPr>
      </w:pPr>
    </w:p>
    <w:p>
      <w:pPr>
        <w:spacing w:line="540" w:lineRule="exact"/>
        <w:jc w:val="center"/>
        <w:rPr>
          <w:rFonts w:eastAsia="Times New Roman" w:cs="Times New Roman"/>
          <w:kern w:val="0"/>
          <w:sz w:val="24"/>
          <w:szCs w:val="24"/>
        </w:rPr>
      </w:pPr>
      <w:r>
        <w:rPr>
          <w:rFonts w:hint="eastAsia" w:ascii="黑体" w:hAnsi="黑体" w:eastAsia="黑体" w:cs="黑体"/>
          <w:kern w:val="0"/>
          <w:sz w:val="24"/>
          <w:szCs w:val="24"/>
        </w:rPr>
        <w:t>目</w:t>
      </w:r>
      <w:r>
        <w:rPr>
          <w:rFonts w:ascii="黑体" w:hAnsi="黑体" w:eastAsia="黑体" w:cs="黑体"/>
          <w:kern w:val="0"/>
          <w:sz w:val="24"/>
          <w:szCs w:val="24"/>
        </w:rPr>
        <w:t xml:space="preserve">  </w:t>
      </w:r>
      <w:r>
        <w:rPr>
          <w:rFonts w:hint="eastAsia" w:ascii="黑体" w:hAnsi="黑体" w:eastAsia="黑体" w:cs="黑体"/>
          <w:kern w:val="0"/>
          <w:sz w:val="24"/>
          <w:szCs w:val="24"/>
        </w:rPr>
        <w:t>录</w:t>
      </w:r>
    </w:p>
    <w:p>
      <w:pPr>
        <w:spacing w:line="540" w:lineRule="exact"/>
        <w:rPr>
          <w:rFonts w:eastAsia="Times New Roman" w:cs="Times New Roman"/>
          <w:b/>
          <w:bCs/>
          <w:kern w:val="0"/>
          <w:sz w:val="24"/>
          <w:szCs w:val="24"/>
        </w:rPr>
      </w:pPr>
    </w:p>
    <w:p>
      <w:pPr>
        <w:spacing w:line="540" w:lineRule="exact"/>
        <w:ind w:firstLine="640"/>
        <w:rPr>
          <w:rFonts w:eastAsia="Times New Roman" w:cs="Times New Roman"/>
          <w:kern w:val="0"/>
          <w:sz w:val="24"/>
          <w:szCs w:val="24"/>
        </w:rPr>
      </w:pPr>
      <w:r>
        <w:rPr>
          <w:rFonts w:hint="eastAsia" w:ascii="宋体" w:hAnsi="宋体"/>
          <w:b/>
          <w:bCs/>
          <w:kern w:val="0"/>
          <w:sz w:val="24"/>
          <w:szCs w:val="24"/>
        </w:rPr>
        <w:t>第一部分</w:t>
      </w:r>
      <w:r>
        <w:rPr>
          <w:rFonts w:ascii="宋体" w:hAnsi="宋体"/>
          <w:b/>
          <w:bCs/>
          <w:kern w:val="0"/>
          <w:sz w:val="24"/>
          <w:szCs w:val="24"/>
        </w:rPr>
        <w:t xml:space="preserve"> </w:t>
      </w:r>
      <w:r>
        <w:rPr>
          <w:rFonts w:hint="eastAsia" w:ascii="宋体" w:hAnsi="宋体"/>
          <w:b/>
          <w:bCs/>
          <w:kern w:val="0"/>
          <w:sz w:val="24"/>
          <w:szCs w:val="24"/>
        </w:rPr>
        <w:t>部门单位概况</w:t>
      </w:r>
    </w:p>
    <w:p>
      <w:pPr>
        <w:spacing w:line="540" w:lineRule="exact"/>
        <w:ind w:firstLine="640"/>
        <w:rPr>
          <w:rFonts w:ascii="宋体"/>
          <w:kern w:val="0"/>
          <w:sz w:val="24"/>
          <w:szCs w:val="24"/>
        </w:rPr>
      </w:pPr>
      <w:r>
        <w:rPr>
          <w:rFonts w:hint="eastAsia" w:ascii="宋体" w:hAnsi="宋体"/>
          <w:kern w:val="0"/>
          <w:sz w:val="24"/>
          <w:szCs w:val="24"/>
        </w:rPr>
        <w:t>一、主要职能</w:t>
      </w:r>
    </w:p>
    <w:p>
      <w:pPr>
        <w:spacing w:line="540" w:lineRule="exact"/>
        <w:ind w:firstLine="640"/>
        <w:rPr>
          <w:rFonts w:eastAsia="Times New Roman" w:cs="Times New Roman"/>
          <w:kern w:val="0"/>
          <w:sz w:val="24"/>
          <w:szCs w:val="24"/>
        </w:rPr>
      </w:pPr>
      <w:r>
        <w:rPr>
          <w:rFonts w:hint="eastAsia" w:ascii="宋体" w:hAnsi="宋体"/>
          <w:kern w:val="0"/>
          <w:sz w:val="24"/>
          <w:szCs w:val="24"/>
        </w:rPr>
        <w:t>二、</w:t>
      </w:r>
      <w:r>
        <w:rPr>
          <w:rFonts w:hint="eastAsia" w:ascii="宋体" w:hAnsi="宋体"/>
          <w:sz w:val="24"/>
          <w:szCs w:val="24"/>
        </w:rPr>
        <w:t>机构设置情况</w:t>
      </w:r>
    </w:p>
    <w:p>
      <w:pPr>
        <w:spacing w:line="540" w:lineRule="exact"/>
        <w:ind w:firstLine="640"/>
        <w:rPr>
          <w:rFonts w:eastAsia="Times New Roman" w:cs="Times New Roman"/>
          <w:kern w:val="0"/>
          <w:sz w:val="24"/>
          <w:szCs w:val="24"/>
        </w:rPr>
      </w:pPr>
      <w:r>
        <w:rPr>
          <w:rFonts w:hint="eastAsia" w:ascii="宋体" w:hAnsi="宋体"/>
          <w:b/>
          <w:bCs/>
          <w:kern w:val="0"/>
          <w:sz w:val="24"/>
          <w:szCs w:val="24"/>
        </w:rPr>
        <w:t>第二部分</w:t>
      </w:r>
      <w:r>
        <w:rPr>
          <w:rFonts w:ascii="宋体" w:hAnsi="宋体"/>
          <w:b/>
          <w:bCs/>
          <w:kern w:val="0"/>
          <w:sz w:val="24"/>
          <w:szCs w:val="24"/>
        </w:rPr>
        <w:t xml:space="preserve"> </w:t>
      </w:r>
      <w:r>
        <w:rPr>
          <w:rFonts w:hint="eastAsia" w:ascii="宋体" w:hAnsi="宋体"/>
          <w:b/>
          <w:bCs/>
          <w:kern w:val="0"/>
          <w:sz w:val="24"/>
          <w:szCs w:val="24"/>
        </w:rPr>
        <w:t>部门决算情况说明</w:t>
      </w:r>
    </w:p>
    <w:p>
      <w:pPr>
        <w:spacing w:line="540" w:lineRule="exact"/>
        <w:ind w:firstLine="640"/>
        <w:rPr>
          <w:rFonts w:ascii="宋体"/>
          <w:sz w:val="24"/>
          <w:szCs w:val="24"/>
        </w:rPr>
      </w:pPr>
      <w:r>
        <w:rPr>
          <w:rFonts w:hint="eastAsia" w:ascii="宋体" w:hAnsi="宋体"/>
          <w:sz w:val="24"/>
          <w:szCs w:val="24"/>
        </w:rPr>
        <w:t>一、部门收支总体情况</w:t>
      </w:r>
    </w:p>
    <w:p>
      <w:pPr>
        <w:spacing w:line="540" w:lineRule="exact"/>
        <w:ind w:firstLine="640"/>
        <w:rPr>
          <w:rFonts w:ascii="宋体"/>
          <w:sz w:val="24"/>
          <w:szCs w:val="24"/>
        </w:rPr>
      </w:pPr>
      <w:r>
        <w:rPr>
          <w:rFonts w:hint="eastAsia" w:ascii="宋体" w:hAnsi="宋体"/>
          <w:sz w:val="24"/>
          <w:szCs w:val="24"/>
        </w:rPr>
        <w:t>（一）部门收入支出决算总体情况说明</w:t>
      </w:r>
    </w:p>
    <w:p>
      <w:pPr>
        <w:spacing w:line="540" w:lineRule="exact"/>
        <w:ind w:firstLine="640"/>
        <w:rPr>
          <w:rFonts w:ascii="宋体"/>
          <w:sz w:val="24"/>
          <w:szCs w:val="24"/>
        </w:rPr>
      </w:pPr>
      <w:r>
        <w:rPr>
          <w:rFonts w:hint="eastAsia" w:ascii="宋体" w:hAnsi="宋体"/>
          <w:sz w:val="24"/>
          <w:szCs w:val="24"/>
        </w:rPr>
        <w:t>（二）部门收入总体情况说明</w:t>
      </w:r>
    </w:p>
    <w:p>
      <w:pPr>
        <w:spacing w:line="540" w:lineRule="exact"/>
        <w:ind w:firstLine="640"/>
        <w:rPr>
          <w:rFonts w:ascii="宋体"/>
          <w:sz w:val="24"/>
          <w:szCs w:val="24"/>
        </w:rPr>
      </w:pPr>
      <w:r>
        <w:rPr>
          <w:rFonts w:hint="eastAsia" w:ascii="宋体" w:hAnsi="宋体"/>
          <w:sz w:val="24"/>
          <w:szCs w:val="24"/>
        </w:rPr>
        <w:t>（三）部门支出总体情况说明</w:t>
      </w:r>
    </w:p>
    <w:p>
      <w:pPr>
        <w:spacing w:line="540" w:lineRule="exact"/>
        <w:ind w:firstLine="640"/>
        <w:rPr>
          <w:rFonts w:eastAsia="Times New Roman" w:cs="Times New Roman"/>
          <w:sz w:val="24"/>
          <w:szCs w:val="24"/>
        </w:rPr>
      </w:pPr>
      <w:r>
        <w:rPr>
          <w:rFonts w:hint="eastAsia" w:ascii="宋体" w:hAnsi="宋体"/>
          <w:sz w:val="24"/>
          <w:szCs w:val="24"/>
        </w:rPr>
        <w:t>二、部门财政拨款收支情况</w:t>
      </w:r>
    </w:p>
    <w:p>
      <w:pPr>
        <w:spacing w:line="540" w:lineRule="exact"/>
        <w:ind w:firstLine="640"/>
        <w:rPr>
          <w:rFonts w:ascii="宋体"/>
          <w:sz w:val="24"/>
          <w:szCs w:val="24"/>
        </w:rPr>
      </w:pPr>
      <w:r>
        <w:rPr>
          <w:rFonts w:hint="eastAsia" w:ascii="宋体" w:hAnsi="宋体"/>
          <w:sz w:val="24"/>
          <w:szCs w:val="24"/>
        </w:rPr>
        <w:t>（一）财政拨款收支总体情况说明</w:t>
      </w:r>
    </w:p>
    <w:p>
      <w:pPr>
        <w:spacing w:line="540" w:lineRule="exact"/>
        <w:ind w:firstLine="640"/>
        <w:rPr>
          <w:rFonts w:ascii="宋体"/>
          <w:sz w:val="24"/>
          <w:szCs w:val="24"/>
        </w:rPr>
      </w:pPr>
      <w:r>
        <w:rPr>
          <w:rFonts w:hint="eastAsia" w:ascii="宋体" w:hAnsi="宋体"/>
          <w:sz w:val="24"/>
          <w:szCs w:val="24"/>
        </w:rPr>
        <w:t>（二）一般公共预算收支决算情况说明</w:t>
      </w:r>
    </w:p>
    <w:p>
      <w:pPr>
        <w:spacing w:line="540" w:lineRule="exact"/>
        <w:ind w:firstLine="640"/>
        <w:rPr>
          <w:rFonts w:ascii="宋体"/>
          <w:sz w:val="24"/>
          <w:szCs w:val="24"/>
        </w:rPr>
      </w:pPr>
      <w:r>
        <w:rPr>
          <w:rFonts w:hint="eastAsia" w:ascii="宋体" w:hAnsi="宋体"/>
          <w:sz w:val="24"/>
          <w:szCs w:val="24"/>
        </w:rPr>
        <w:t>（三）政府性基金预算收支决算情况说明</w:t>
      </w:r>
    </w:p>
    <w:p>
      <w:pPr>
        <w:spacing w:line="540" w:lineRule="exact"/>
        <w:ind w:firstLine="640"/>
        <w:rPr>
          <w:rFonts w:ascii="宋体"/>
          <w:sz w:val="24"/>
          <w:szCs w:val="24"/>
        </w:rPr>
      </w:pPr>
      <w:r>
        <w:rPr>
          <w:rFonts w:hint="eastAsia" w:ascii="宋体" w:hAnsi="宋体"/>
          <w:sz w:val="24"/>
          <w:szCs w:val="24"/>
        </w:rPr>
        <w:t>三、部门结转结余情况</w:t>
      </w:r>
    </w:p>
    <w:p>
      <w:pPr>
        <w:spacing w:line="540" w:lineRule="exact"/>
        <w:ind w:firstLine="640"/>
        <w:rPr>
          <w:rFonts w:ascii="宋体"/>
          <w:sz w:val="24"/>
          <w:szCs w:val="24"/>
        </w:rPr>
      </w:pPr>
      <w:r>
        <w:rPr>
          <w:rFonts w:hint="eastAsia" w:ascii="宋体" w:hAnsi="宋体"/>
          <w:sz w:val="24"/>
          <w:szCs w:val="24"/>
        </w:rPr>
        <w:t>四、一般公共预算“三公”经费支出情况</w:t>
      </w:r>
    </w:p>
    <w:p>
      <w:pPr>
        <w:spacing w:line="540" w:lineRule="exact"/>
        <w:ind w:firstLine="640"/>
        <w:rPr>
          <w:rFonts w:ascii="宋体"/>
          <w:sz w:val="24"/>
          <w:szCs w:val="24"/>
        </w:rPr>
      </w:pPr>
      <w:r>
        <w:rPr>
          <w:rFonts w:hint="eastAsia" w:ascii="宋体" w:hAnsi="宋体"/>
          <w:sz w:val="24"/>
          <w:szCs w:val="24"/>
        </w:rPr>
        <w:t>五、机关运行经费支出情况</w:t>
      </w:r>
    </w:p>
    <w:p>
      <w:pPr>
        <w:spacing w:line="540" w:lineRule="exact"/>
        <w:ind w:firstLine="640"/>
        <w:rPr>
          <w:rFonts w:ascii="宋体"/>
          <w:sz w:val="24"/>
          <w:szCs w:val="24"/>
        </w:rPr>
      </w:pPr>
      <w:r>
        <w:rPr>
          <w:rFonts w:hint="eastAsia" w:ascii="宋体" w:hAnsi="宋体"/>
          <w:sz w:val="24"/>
          <w:szCs w:val="24"/>
        </w:rPr>
        <w:t>六、政府采购情况</w:t>
      </w:r>
    </w:p>
    <w:p>
      <w:pPr>
        <w:spacing w:line="540" w:lineRule="exact"/>
        <w:ind w:firstLine="640"/>
        <w:rPr>
          <w:rFonts w:ascii="宋体"/>
          <w:sz w:val="24"/>
          <w:szCs w:val="24"/>
        </w:rPr>
      </w:pPr>
      <w:r>
        <w:rPr>
          <w:rFonts w:hint="eastAsia" w:ascii="宋体" w:hAnsi="宋体"/>
          <w:sz w:val="24"/>
          <w:szCs w:val="24"/>
        </w:rPr>
        <w:t>七、其他重要事项的情况</w:t>
      </w:r>
    </w:p>
    <w:p>
      <w:pPr>
        <w:spacing w:line="540" w:lineRule="exact"/>
        <w:ind w:firstLine="640"/>
        <w:rPr>
          <w:rFonts w:ascii="宋体"/>
          <w:sz w:val="24"/>
          <w:szCs w:val="24"/>
        </w:rPr>
      </w:pPr>
      <w:r>
        <w:rPr>
          <w:rFonts w:hint="eastAsia" w:ascii="宋体" w:hAnsi="宋体"/>
          <w:sz w:val="24"/>
          <w:szCs w:val="24"/>
        </w:rPr>
        <w:t>（一）国有资产占用情况说明</w:t>
      </w:r>
    </w:p>
    <w:p>
      <w:pPr>
        <w:spacing w:line="540" w:lineRule="exact"/>
        <w:ind w:firstLine="640"/>
        <w:rPr>
          <w:rFonts w:eastAsia="Times New Roman" w:cs="Times New Roman"/>
          <w:sz w:val="24"/>
          <w:szCs w:val="24"/>
        </w:rPr>
      </w:pPr>
      <w:r>
        <w:rPr>
          <w:rFonts w:hint="eastAsia" w:ascii="宋体" w:hAnsi="宋体"/>
          <w:sz w:val="24"/>
          <w:szCs w:val="24"/>
        </w:rPr>
        <w:t>（二）预算绩效情况的说明</w:t>
      </w:r>
    </w:p>
    <w:p>
      <w:pPr>
        <w:spacing w:line="540" w:lineRule="exact"/>
        <w:ind w:firstLine="640"/>
        <w:rPr>
          <w:rFonts w:ascii="宋体"/>
          <w:b/>
          <w:bCs/>
          <w:kern w:val="0"/>
          <w:sz w:val="24"/>
          <w:szCs w:val="24"/>
        </w:rPr>
      </w:pPr>
      <w:r>
        <w:rPr>
          <w:rFonts w:hint="eastAsia" w:ascii="宋体" w:hAnsi="宋体"/>
          <w:b/>
          <w:bCs/>
          <w:kern w:val="0"/>
          <w:sz w:val="24"/>
          <w:szCs w:val="24"/>
        </w:rPr>
        <w:t>第三部分</w:t>
      </w:r>
      <w:r>
        <w:rPr>
          <w:rFonts w:ascii="宋体" w:hAnsi="宋体"/>
          <w:b/>
          <w:bCs/>
          <w:kern w:val="0"/>
          <w:sz w:val="24"/>
          <w:szCs w:val="24"/>
        </w:rPr>
        <w:t xml:space="preserve"> </w:t>
      </w:r>
      <w:r>
        <w:rPr>
          <w:rFonts w:hint="eastAsia" w:ascii="宋体" w:hAnsi="宋体"/>
          <w:b/>
          <w:bCs/>
          <w:kern w:val="0"/>
          <w:sz w:val="24"/>
          <w:szCs w:val="24"/>
        </w:rPr>
        <w:t>专业名词解释</w:t>
      </w:r>
    </w:p>
    <w:p>
      <w:pPr>
        <w:spacing w:line="540" w:lineRule="exact"/>
        <w:ind w:firstLine="640"/>
        <w:rPr>
          <w:rFonts w:eastAsia="Times New Roman" w:cs="Times New Roman"/>
          <w:kern w:val="0"/>
          <w:sz w:val="24"/>
          <w:szCs w:val="24"/>
        </w:rPr>
      </w:pPr>
      <w:r>
        <w:rPr>
          <w:rFonts w:hint="eastAsia" w:ascii="宋体" w:hAnsi="宋体"/>
          <w:b/>
          <w:bCs/>
          <w:kern w:val="0"/>
          <w:sz w:val="24"/>
          <w:szCs w:val="24"/>
        </w:rPr>
        <w:t>第四部分</w:t>
      </w:r>
      <w:r>
        <w:rPr>
          <w:rFonts w:ascii="宋体" w:hAnsi="宋体"/>
          <w:b/>
          <w:bCs/>
          <w:kern w:val="0"/>
          <w:sz w:val="24"/>
          <w:szCs w:val="24"/>
        </w:rPr>
        <w:t xml:space="preserve"> </w:t>
      </w:r>
      <w:r>
        <w:rPr>
          <w:rFonts w:hint="eastAsia" w:ascii="宋体" w:hAnsi="宋体"/>
          <w:b/>
          <w:bCs/>
          <w:kern w:val="0"/>
          <w:sz w:val="24"/>
          <w:szCs w:val="24"/>
        </w:rPr>
        <w:t>部</w:t>
      </w:r>
      <w:r>
        <w:rPr>
          <w:rFonts w:hint="eastAsia" w:ascii="宋体" w:hAnsi="宋体"/>
          <w:b/>
          <w:bCs/>
          <w:sz w:val="24"/>
          <w:szCs w:val="24"/>
        </w:rPr>
        <w:t>门决算公开的</w:t>
      </w:r>
      <w:r>
        <w:rPr>
          <w:rFonts w:ascii="宋体" w:hAnsi="宋体"/>
          <w:b/>
          <w:bCs/>
          <w:sz w:val="24"/>
          <w:szCs w:val="24"/>
        </w:rPr>
        <w:t>8</w:t>
      </w:r>
      <w:r>
        <w:rPr>
          <w:rFonts w:hint="eastAsia" w:ascii="宋体" w:hAnsi="宋体"/>
          <w:b/>
          <w:bCs/>
          <w:sz w:val="24"/>
          <w:szCs w:val="24"/>
        </w:rPr>
        <w:t>张报表</w:t>
      </w:r>
    </w:p>
    <w:p>
      <w:pPr>
        <w:spacing w:line="540" w:lineRule="exact"/>
        <w:ind w:firstLine="640"/>
        <w:rPr>
          <w:rFonts w:ascii="宋体"/>
          <w:sz w:val="24"/>
          <w:szCs w:val="24"/>
        </w:rPr>
      </w:pPr>
      <w:r>
        <w:rPr>
          <w:rFonts w:hint="eastAsia" w:ascii="宋体" w:hAnsi="宋体"/>
          <w:sz w:val="24"/>
          <w:szCs w:val="24"/>
        </w:rPr>
        <w:t>《收入支出决算总表》</w:t>
      </w:r>
    </w:p>
    <w:p>
      <w:pPr>
        <w:spacing w:line="540" w:lineRule="exact"/>
        <w:ind w:firstLine="640"/>
        <w:rPr>
          <w:rFonts w:ascii="宋体"/>
          <w:sz w:val="24"/>
          <w:szCs w:val="24"/>
        </w:rPr>
      </w:pPr>
      <w:r>
        <w:rPr>
          <w:rFonts w:hint="eastAsia" w:ascii="宋体" w:hAnsi="宋体"/>
          <w:sz w:val="24"/>
          <w:szCs w:val="24"/>
        </w:rPr>
        <w:t>《收入决算表》</w:t>
      </w:r>
    </w:p>
    <w:p>
      <w:pPr>
        <w:spacing w:line="540" w:lineRule="exact"/>
        <w:ind w:firstLine="640"/>
        <w:rPr>
          <w:rFonts w:ascii="宋体"/>
          <w:sz w:val="24"/>
          <w:szCs w:val="24"/>
        </w:rPr>
      </w:pPr>
      <w:r>
        <w:rPr>
          <w:rFonts w:hint="eastAsia" w:ascii="宋体" w:hAnsi="宋体"/>
          <w:sz w:val="24"/>
          <w:szCs w:val="24"/>
        </w:rPr>
        <w:t>《支出决算表》</w:t>
      </w:r>
    </w:p>
    <w:p>
      <w:pPr>
        <w:spacing w:line="540" w:lineRule="exact"/>
        <w:ind w:firstLine="640"/>
        <w:rPr>
          <w:rFonts w:ascii="宋体"/>
          <w:sz w:val="24"/>
          <w:szCs w:val="24"/>
        </w:rPr>
      </w:pPr>
      <w:r>
        <w:rPr>
          <w:rFonts w:hint="eastAsia" w:ascii="宋体" w:hAnsi="宋体"/>
          <w:sz w:val="24"/>
          <w:szCs w:val="24"/>
        </w:rPr>
        <w:t>《财政拨款收入支出决算总表》</w:t>
      </w:r>
    </w:p>
    <w:p>
      <w:pPr>
        <w:spacing w:line="540" w:lineRule="exact"/>
        <w:ind w:firstLine="640"/>
        <w:rPr>
          <w:rFonts w:ascii="宋体"/>
          <w:sz w:val="24"/>
          <w:szCs w:val="24"/>
        </w:rPr>
      </w:pPr>
      <w:r>
        <w:rPr>
          <w:rFonts w:hint="eastAsia" w:ascii="宋体" w:hAnsi="宋体"/>
          <w:sz w:val="24"/>
          <w:szCs w:val="24"/>
        </w:rPr>
        <w:t>《一般公共预算财政拨款支出决算表》</w:t>
      </w:r>
    </w:p>
    <w:p>
      <w:pPr>
        <w:spacing w:line="540" w:lineRule="exact"/>
        <w:ind w:firstLine="640"/>
        <w:rPr>
          <w:rFonts w:ascii="宋体"/>
          <w:sz w:val="24"/>
          <w:szCs w:val="24"/>
        </w:rPr>
      </w:pPr>
      <w:r>
        <w:rPr>
          <w:rFonts w:hint="eastAsia" w:ascii="宋体" w:hAnsi="宋体"/>
          <w:sz w:val="24"/>
          <w:szCs w:val="24"/>
        </w:rPr>
        <w:t>《一般公共预算财政拨款基本支出决算表》</w:t>
      </w:r>
    </w:p>
    <w:p>
      <w:pPr>
        <w:spacing w:line="540" w:lineRule="exact"/>
        <w:ind w:firstLine="640"/>
        <w:rPr>
          <w:rFonts w:ascii="宋体"/>
          <w:sz w:val="24"/>
          <w:szCs w:val="24"/>
        </w:rPr>
      </w:pPr>
      <w:r>
        <w:rPr>
          <w:rFonts w:hint="eastAsia" w:ascii="宋体" w:hAnsi="宋体"/>
          <w:sz w:val="24"/>
          <w:szCs w:val="24"/>
        </w:rPr>
        <w:t>《一般公共预算财政拨款“三公”经费支出决算表》</w:t>
      </w:r>
    </w:p>
    <w:p>
      <w:pPr>
        <w:spacing w:line="540" w:lineRule="exact"/>
        <w:ind w:firstLine="640"/>
        <w:rPr>
          <w:rFonts w:eastAsia="Times New Roman" w:cs="Times New Roman"/>
          <w:sz w:val="24"/>
          <w:szCs w:val="24"/>
        </w:rPr>
      </w:pPr>
      <w:r>
        <w:rPr>
          <w:rFonts w:hint="eastAsia" w:ascii="宋体" w:hAnsi="宋体"/>
          <w:sz w:val="24"/>
          <w:szCs w:val="24"/>
        </w:rPr>
        <w:t>《政府性基金预算财政拨款收入支出决算表》</w:t>
      </w:r>
    </w:p>
    <w:p>
      <w:pPr>
        <w:shd w:val="clear" w:color="auto" w:fill="FFFFFF"/>
        <w:spacing w:before="100" w:after="240"/>
        <w:jc w:val="center"/>
        <w:rPr>
          <w:rFonts w:ascii="宋体"/>
          <w:b/>
          <w:bCs/>
          <w:kern w:val="0"/>
          <w:sz w:val="24"/>
          <w:szCs w:val="24"/>
        </w:rPr>
      </w:pPr>
    </w:p>
    <w:p>
      <w:pPr>
        <w:shd w:val="clear" w:color="auto" w:fill="FFFFFF"/>
        <w:spacing w:before="100" w:after="240"/>
        <w:jc w:val="center"/>
        <w:rPr>
          <w:rFonts w:ascii="宋体"/>
          <w:b/>
          <w:bCs/>
          <w:kern w:val="0"/>
          <w:sz w:val="24"/>
          <w:szCs w:val="24"/>
        </w:rPr>
      </w:pPr>
    </w:p>
    <w:p>
      <w:pPr>
        <w:shd w:val="clear" w:color="auto" w:fill="FFFFFF"/>
        <w:spacing w:before="100" w:after="240"/>
        <w:jc w:val="center"/>
        <w:rPr>
          <w:rFonts w:ascii="宋体"/>
          <w:b/>
          <w:bCs/>
          <w:kern w:val="0"/>
          <w:sz w:val="24"/>
          <w:szCs w:val="24"/>
        </w:rPr>
      </w:pPr>
    </w:p>
    <w:p>
      <w:pPr>
        <w:shd w:val="clear" w:color="auto" w:fill="FFFFFF"/>
        <w:spacing w:before="100" w:after="240"/>
        <w:jc w:val="center"/>
        <w:rPr>
          <w:rFonts w:ascii="宋体"/>
          <w:b/>
          <w:bCs/>
          <w:kern w:val="0"/>
          <w:sz w:val="24"/>
          <w:szCs w:val="24"/>
        </w:rPr>
      </w:pPr>
    </w:p>
    <w:p>
      <w:pPr>
        <w:shd w:val="clear" w:color="auto" w:fill="FFFFFF"/>
        <w:spacing w:before="100" w:after="240"/>
        <w:jc w:val="center"/>
        <w:rPr>
          <w:rFonts w:ascii="宋体"/>
          <w:b/>
          <w:bCs/>
          <w:kern w:val="0"/>
          <w:sz w:val="24"/>
          <w:szCs w:val="24"/>
        </w:rPr>
      </w:pPr>
    </w:p>
    <w:p>
      <w:pPr>
        <w:shd w:val="clear" w:color="auto" w:fill="FFFFFF"/>
        <w:spacing w:before="100" w:after="240"/>
        <w:jc w:val="center"/>
        <w:rPr>
          <w:rFonts w:ascii="宋体"/>
          <w:b/>
          <w:bCs/>
          <w:kern w:val="0"/>
          <w:sz w:val="24"/>
          <w:szCs w:val="24"/>
        </w:rPr>
      </w:pPr>
    </w:p>
    <w:p>
      <w:pPr>
        <w:shd w:val="clear" w:color="auto" w:fill="FFFFFF"/>
        <w:spacing w:before="100" w:after="240"/>
        <w:jc w:val="center"/>
        <w:rPr>
          <w:rFonts w:ascii="宋体"/>
          <w:b/>
          <w:bCs/>
          <w:kern w:val="0"/>
          <w:sz w:val="24"/>
          <w:szCs w:val="24"/>
        </w:rPr>
      </w:pPr>
    </w:p>
    <w:p>
      <w:pPr>
        <w:shd w:val="clear" w:color="auto" w:fill="FFFFFF"/>
        <w:spacing w:before="100" w:after="240"/>
        <w:jc w:val="center"/>
        <w:rPr>
          <w:rFonts w:ascii="宋体"/>
          <w:b/>
          <w:bCs/>
          <w:kern w:val="0"/>
          <w:sz w:val="24"/>
          <w:szCs w:val="24"/>
        </w:rPr>
      </w:pPr>
    </w:p>
    <w:p>
      <w:pPr>
        <w:shd w:val="clear" w:color="auto" w:fill="FFFFFF"/>
        <w:spacing w:before="100" w:after="240"/>
        <w:jc w:val="center"/>
        <w:rPr>
          <w:rFonts w:ascii="宋体"/>
          <w:b/>
          <w:bCs/>
          <w:kern w:val="0"/>
          <w:sz w:val="24"/>
          <w:szCs w:val="24"/>
        </w:rPr>
      </w:pPr>
    </w:p>
    <w:p>
      <w:pPr>
        <w:shd w:val="clear" w:color="auto" w:fill="FFFFFF"/>
        <w:spacing w:before="100" w:after="240"/>
        <w:jc w:val="center"/>
        <w:rPr>
          <w:rFonts w:ascii="宋体"/>
          <w:b/>
          <w:bCs/>
          <w:kern w:val="0"/>
          <w:sz w:val="24"/>
          <w:szCs w:val="24"/>
        </w:rPr>
      </w:pPr>
    </w:p>
    <w:p>
      <w:pPr>
        <w:shd w:val="clear" w:color="auto" w:fill="FFFFFF"/>
        <w:spacing w:before="100" w:after="240"/>
        <w:jc w:val="center"/>
        <w:rPr>
          <w:rFonts w:ascii="宋体"/>
          <w:b/>
          <w:bCs/>
          <w:kern w:val="0"/>
          <w:sz w:val="24"/>
          <w:szCs w:val="24"/>
        </w:rPr>
      </w:pPr>
    </w:p>
    <w:p>
      <w:pPr>
        <w:shd w:val="clear" w:color="auto" w:fill="FFFFFF"/>
        <w:spacing w:before="100" w:after="240"/>
        <w:jc w:val="center"/>
        <w:rPr>
          <w:rFonts w:ascii="宋体"/>
          <w:b/>
          <w:bCs/>
          <w:kern w:val="0"/>
          <w:sz w:val="24"/>
          <w:szCs w:val="24"/>
        </w:rPr>
      </w:pPr>
    </w:p>
    <w:p>
      <w:pPr>
        <w:shd w:val="clear" w:color="auto" w:fill="FFFFFF"/>
        <w:spacing w:before="100" w:after="240"/>
        <w:jc w:val="center"/>
        <w:rPr>
          <w:rFonts w:eastAsia="Times New Roman" w:cs="Times New Roman"/>
          <w:kern w:val="0"/>
          <w:sz w:val="24"/>
          <w:szCs w:val="24"/>
        </w:rPr>
      </w:pPr>
      <w:r>
        <w:rPr>
          <w:rFonts w:hint="eastAsia" w:ascii="宋体" w:hAnsi="宋体"/>
          <w:b/>
          <w:bCs/>
          <w:kern w:val="0"/>
          <w:sz w:val="24"/>
          <w:szCs w:val="24"/>
        </w:rPr>
        <w:t>第一部分新疆昌吉玛纳斯县财政局单位概述</w:t>
      </w:r>
    </w:p>
    <w:p>
      <w:pPr>
        <w:numPr>
          <w:ilvl w:val="0"/>
          <w:numId w:val="1"/>
        </w:numPr>
        <w:spacing w:line="560" w:lineRule="exact"/>
        <w:ind w:firstLine="472" w:firstLineChars="196"/>
        <w:rPr>
          <w:rFonts w:ascii="宋体"/>
          <w:b/>
          <w:bCs/>
          <w:kern w:val="0"/>
          <w:sz w:val="24"/>
          <w:szCs w:val="24"/>
        </w:rPr>
      </w:pPr>
      <w:r>
        <w:rPr>
          <w:rFonts w:hint="eastAsia" w:ascii="宋体" w:hAnsi="宋体"/>
          <w:b/>
          <w:bCs/>
          <w:kern w:val="0"/>
          <w:sz w:val="24"/>
          <w:szCs w:val="24"/>
        </w:rPr>
        <w:t>主要职能</w:t>
      </w:r>
    </w:p>
    <w:p>
      <w:pPr>
        <w:spacing w:line="560" w:lineRule="exact"/>
        <w:ind w:firstLine="480" w:firstLineChars="200"/>
        <w:rPr>
          <w:rFonts w:ascii="宋体"/>
          <w:color w:val="000000"/>
          <w:sz w:val="24"/>
          <w:szCs w:val="24"/>
        </w:rPr>
      </w:pPr>
      <w:r>
        <w:rPr>
          <w:rFonts w:ascii="宋体" w:hAnsi="宋体"/>
          <w:color w:val="000000"/>
          <w:sz w:val="24"/>
          <w:szCs w:val="24"/>
        </w:rPr>
        <w:t>1</w:t>
      </w:r>
      <w:r>
        <w:rPr>
          <w:rFonts w:hint="eastAsia" w:ascii="宋体" w:hAnsi="宋体"/>
          <w:color w:val="000000"/>
          <w:sz w:val="24"/>
          <w:szCs w:val="24"/>
        </w:rPr>
        <w:t>、贯彻执行国家和区、州财政、税收、国有资产管理的方针政策和法律法规，研究拟定全县财政、税收管理的规范性文件和财务会计规章制度并组织实施。</w:t>
      </w:r>
    </w:p>
    <w:p>
      <w:pPr>
        <w:spacing w:line="560" w:lineRule="exact"/>
        <w:ind w:firstLine="470" w:firstLineChars="196"/>
        <w:rPr>
          <w:rFonts w:ascii="宋体"/>
          <w:color w:val="000000"/>
          <w:sz w:val="24"/>
          <w:szCs w:val="24"/>
        </w:rPr>
      </w:pPr>
      <w:r>
        <w:rPr>
          <w:rFonts w:ascii="宋体" w:hAnsi="宋体"/>
          <w:color w:val="000000"/>
          <w:sz w:val="24"/>
          <w:szCs w:val="24"/>
        </w:rPr>
        <w:t>2</w:t>
      </w:r>
      <w:r>
        <w:rPr>
          <w:rFonts w:hint="eastAsia" w:ascii="宋体" w:hAnsi="宋体"/>
          <w:color w:val="000000"/>
          <w:sz w:val="24"/>
          <w:szCs w:val="24"/>
        </w:rPr>
        <w:t>、根据国民经济和社会发展规划，拟定全县财政、税收的发展战略、中长期规划及改革方案；参与宏观经济决策；提出运用财税政策实施宏观调控和综合平衡社会财力的建议；拟定和执行县与乡镇、国家与企业的分配办法。</w:t>
      </w:r>
    </w:p>
    <w:p>
      <w:pPr>
        <w:spacing w:line="560" w:lineRule="exact"/>
        <w:ind w:firstLine="470" w:firstLineChars="196"/>
        <w:rPr>
          <w:rFonts w:ascii="宋体"/>
          <w:color w:val="000000"/>
          <w:sz w:val="24"/>
          <w:szCs w:val="24"/>
        </w:rPr>
      </w:pPr>
      <w:r>
        <w:rPr>
          <w:rFonts w:ascii="宋体" w:hAnsi="宋体"/>
          <w:color w:val="000000"/>
          <w:sz w:val="24"/>
          <w:szCs w:val="24"/>
        </w:rPr>
        <w:t>3</w:t>
      </w:r>
      <w:r>
        <w:rPr>
          <w:rFonts w:hint="eastAsia" w:ascii="宋体" w:hAnsi="宋体"/>
          <w:color w:val="000000"/>
          <w:sz w:val="24"/>
          <w:szCs w:val="24"/>
        </w:rPr>
        <w:t>、编制年度县级财政预算草案并组织执行，汇总全县财政决算；受县政府委托，向县人民代表大会报告县级和全县财政预算及其执行情况，向县人大常委会报告县级财政决算管理县级各项财政收入；管理县级预算外资金和财政专户；管理有关政府性基金；会同有关部门申报行政事业性收费的立项；负责彩票的监督管理工作。</w:t>
      </w:r>
    </w:p>
    <w:p>
      <w:pPr>
        <w:spacing w:line="560" w:lineRule="exact"/>
        <w:ind w:firstLine="470" w:firstLineChars="196"/>
        <w:rPr>
          <w:rFonts w:ascii="宋体"/>
          <w:color w:val="000000"/>
          <w:sz w:val="24"/>
          <w:szCs w:val="24"/>
        </w:rPr>
      </w:pPr>
      <w:r>
        <w:rPr>
          <w:rFonts w:ascii="宋体" w:hAnsi="宋体"/>
          <w:color w:val="000000"/>
          <w:sz w:val="24"/>
          <w:szCs w:val="24"/>
        </w:rPr>
        <w:t>4</w:t>
      </w:r>
      <w:r>
        <w:rPr>
          <w:rFonts w:hint="eastAsia" w:ascii="宋体" w:hAnsi="宋体"/>
          <w:color w:val="000000"/>
          <w:sz w:val="24"/>
          <w:szCs w:val="24"/>
        </w:rPr>
        <w:t>、根据县级预算安排，确定财政收入分配计划，提出地方性税收政策建议。</w:t>
      </w:r>
    </w:p>
    <w:p>
      <w:pPr>
        <w:spacing w:line="560" w:lineRule="exact"/>
        <w:ind w:firstLine="470" w:firstLineChars="196"/>
        <w:rPr>
          <w:rFonts w:ascii="宋体"/>
          <w:color w:val="000000"/>
          <w:sz w:val="24"/>
          <w:szCs w:val="24"/>
        </w:rPr>
      </w:pPr>
      <w:r>
        <w:rPr>
          <w:rFonts w:ascii="宋体" w:hAnsi="宋体"/>
          <w:color w:val="000000"/>
          <w:sz w:val="24"/>
          <w:szCs w:val="24"/>
        </w:rPr>
        <w:t>5</w:t>
      </w:r>
      <w:r>
        <w:rPr>
          <w:rFonts w:hint="eastAsia" w:ascii="宋体" w:hAnsi="宋体"/>
          <w:color w:val="000000"/>
          <w:sz w:val="24"/>
          <w:szCs w:val="24"/>
        </w:rPr>
        <w:t>、管理县级财政公共支出和各项专款；拟定和执行政府采购办法；制定和执行需要全县统一规定的开支标准和支出规定；制定和监督执行基本建设财务制度。</w:t>
      </w:r>
    </w:p>
    <w:p>
      <w:pPr>
        <w:spacing w:line="560" w:lineRule="exact"/>
        <w:ind w:firstLine="470" w:firstLineChars="196"/>
        <w:rPr>
          <w:rFonts w:ascii="宋体"/>
          <w:color w:val="000000"/>
          <w:sz w:val="24"/>
          <w:szCs w:val="24"/>
        </w:rPr>
      </w:pPr>
      <w:r>
        <w:rPr>
          <w:rFonts w:ascii="宋体" w:hAnsi="宋体"/>
          <w:color w:val="000000"/>
          <w:sz w:val="24"/>
          <w:szCs w:val="24"/>
        </w:rPr>
        <w:t>6</w:t>
      </w:r>
      <w:r>
        <w:rPr>
          <w:rFonts w:hint="eastAsia" w:ascii="宋体" w:hAnsi="宋体"/>
          <w:color w:val="000000"/>
          <w:sz w:val="24"/>
          <w:szCs w:val="24"/>
        </w:rPr>
        <w:t>、参与县级政府投资项目的可行性论证，办理县级政府投资项目的财政拨款；负责对政府投资项目的财政性资金进行监督管理和跟踪问效；审查建设项目的工程预</w:t>
      </w:r>
      <w:r>
        <w:rPr>
          <w:rFonts w:ascii="宋体" w:hAnsi="宋体"/>
          <w:color w:val="000000"/>
          <w:sz w:val="24"/>
          <w:szCs w:val="24"/>
        </w:rPr>
        <w:t>(</w:t>
      </w:r>
      <w:r>
        <w:rPr>
          <w:rFonts w:hint="eastAsia" w:ascii="宋体" w:hAnsi="宋体"/>
          <w:color w:val="000000"/>
          <w:sz w:val="24"/>
          <w:szCs w:val="24"/>
        </w:rPr>
        <w:t>结</w:t>
      </w:r>
      <w:r>
        <w:rPr>
          <w:rFonts w:ascii="宋体" w:hAnsi="宋体"/>
          <w:color w:val="000000"/>
          <w:sz w:val="24"/>
          <w:szCs w:val="24"/>
        </w:rPr>
        <w:t>)</w:t>
      </w:r>
      <w:r>
        <w:rPr>
          <w:rFonts w:hint="eastAsia" w:ascii="宋体" w:hAnsi="宋体"/>
          <w:color w:val="000000"/>
          <w:sz w:val="24"/>
          <w:szCs w:val="24"/>
        </w:rPr>
        <w:t>算和竣工决算，参与制定工程取费标准。</w:t>
      </w:r>
    </w:p>
    <w:p>
      <w:pPr>
        <w:spacing w:line="560" w:lineRule="exact"/>
        <w:ind w:firstLine="470" w:firstLineChars="196"/>
        <w:rPr>
          <w:rFonts w:ascii="宋体"/>
          <w:color w:val="000000"/>
          <w:sz w:val="24"/>
          <w:szCs w:val="24"/>
        </w:rPr>
      </w:pPr>
      <w:r>
        <w:rPr>
          <w:rFonts w:ascii="宋体" w:hAnsi="宋体"/>
          <w:color w:val="000000"/>
          <w:sz w:val="24"/>
          <w:szCs w:val="24"/>
        </w:rPr>
        <w:t>7</w:t>
      </w:r>
      <w:r>
        <w:rPr>
          <w:rFonts w:hint="eastAsia" w:ascii="宋体" w:hAnsi="宋体"/>
          <w:color w:val="000000"/>
          <w:sz w:val="24"/>
          <w:szCs w:val="24"/>
        </w:rPr>
        <w:t>、管理县级和上级有关单位的财政社会保障支出；拟定和执行社会保障资金的财务管理制度；组织实施对社会保障资金使用的财政监督。</w:t>
      </w:r>
    </w:p>
    <w:p>
      <w:pPr>
        <w:spacing w:line="560" w:lineRule="exact"/>
        <w:ind w:firstLine="470" w:firstLineChars="196"/>
        <w:rPr>
          <w:rFonts w:ascii="宋体"/>
          <w:color w:val="000000"/>
          <w:sz w:val="24"/>
          <w:szCs w:val="24"/>
        </w:rPr>
      </w:pPr>
      <w:r>
        <w:rPr>
          <w:rFonts w:ascii="宋体" w:hAnsi="宋体"/>
          <w:color w:val="000000"/>
          <w:sz w:val="24"/>
          <w:szCs w:val="24"/>
        </w:rPr>
        <w:t>8</w:t>
      </w:r>
      <w:r>
        <w:rPr>
          <w:rFonts w:hint="eastAsia" w:ascii="宋体" w:hAnsi="宋体"/>
          <w:color w:val="000000"/>
          <w:sz w:val="24"/>
          <w:szCs w:val="24"/>
        </w:rPr>
        <w:t>、负责全县地方各类企业、行政事业单位的财务、会计管理工作，拟定和监督执行财务制度、会计制度；指导和管理社会审计工作。</w:t>
      </w:r>
    </w:p>
    <w:p>
      <w:pPr>
        <w:spacing w:line="560" w:lineRule="exact"/>
        <w:ind w:firstLine="470" w:firstLineChars="196"/>
        <w:rPr>
          <w:rFonts w:ascii="宋体"/>
          <w:color w:val="000000"/>
          <w:sz w:val="24"/>
          <w:szCs w:val="24"/>
        </w:rPr>
      </w:pPr>
      <w:r>
        <w:rPr>
          <w:rFonts w:ascii="宋体" w:hAnsi="宋体"/>
          <w:color w:val="000000"/>
          <w:sz w:val="24"/>
          <w:szCs w:val="24"/>
        </w:rPr>
        <w:t>9</w:t>
      </w:r>
      <w:r>
        <w:rPr>
          <w:rFonts w:hint="eastAsia" w:ascii="宋体" w:hAnsi="宋体"/>
          <w:color w:val="000000"/>
          <w:sz w:val="24"/>
          <w:szCs w:val="24"/>
        </w:rPr>
        <w:t>、监督财税方针政策、法律法规的执行情况；检查反映财政收支管理中的重大问题；提出加强财政管理的政策建议；组织协调财税、审计监督检查工作。</w:t>
      </w:r>
    </w:p>
    <w:p>
      <w:pPr>
        <w:spacing w:line="560" w:lineRule="exact"/>
        <w:ind w:firstLine="470" w:firstLineChars="196"/>
        <w:rPr>
          <w:rFonts w:ascii="宋体"/>
          <w:color w:val="000000"/>
          <w:sz w:val="24"/>
          <w:szCs w:val="24"/>
        </w:rPr>
      </w:pPr>
      <w:r>
        <w:rPr>
          <w:rFonts w:ascii="宋体" w:hAnsi="宋体"/>
          <w:color w:val="000000"/>
          <w:sz w:val="24"/>
          <w:szCs w:val="24"/>
        </w:rPr>
        <w:t>10</w:t>
      </w:r>
      <w:r>
        <w:rPr>
          <w:rFonts w:hint="eastAsia" w:ascii="宋体" w:hAnsi="宋体"/>
          <w:color w:val="000000"/>
          <w:sz w:val="24"/>
          <w:szCs w:val="24"/>
        </w:rPr>
        <w:t>、负责全县的国有资产管理工作。做好全县国有资产的清产核资、产权界定和资产评估。</w:t>
      </w:r>
    </w:p>
    <w:p>
      <w:pPr>
        <w:shd w:val="clear" w:color="auto" w:fill="FFFFFF"/>
        <w:spacing w:before="100" w:after="240"/>
        <w:jc w:val="left"/>
        <w:rPr>
          <w:rFonts w:ascii="宋体"/>
          <w:b/>
          <w:bCs/>
          <w:color w:val="000000"/>
          <w:kern w:val="0"/>
          <w:sz w:val="24"/>
          <w:szCs w:val="24"/>
        </w:rPr>
      </w:pPr>
    </w:p>
    <w:p>
      <w:pPr>
        <w:shd w:val="clear" w:color="auto" w:fill="FFFFFF"/>
        <w:spacing w:before="100" w:after="240"/>
        <w:jc w:val="left"/>
        <w:rPr>
          <w:rFonts w:eastAsia="Times New Roman" w:cs="Times New Roman"/>
          <w:kern w:val="0"/>
          <w:sz w:val="24"/>
          <w:szCs w:val="24"/>
        </w:rPr>
      </w:pPr>
      <w:r>
        <w:rPr>
          <w:rFonts w:hint="eastAsia" w:ascii="宋体" w:hAnsi="宋体"/>
          <w:b/>
          <w:bCs/>
          <w:kern w:val="0"/>
          <w:sz w:val="24"/>
          <w:szCs w:val="24"/>
        </w:rPr>
        <w:t>二、机构设置情况</w:t>
      </w:r>
    </w:p>
    <w:p>
      <w:pPr>
        <w:shd w:val="clear" w:color="auto" w:fill="FFFFFF"/>
        <w:spacing w:before="100" w:line="520" w:lineRule="exact"/>
        <w:ind w:firstLine="480"/>
        <w:rPr>
          <w:rFonts w:eastAsia="Times New Roman" w:cs="Times New Roman"/>
          <w:kern w:val="0"/>
          <w:sz w:val="24"/>
          <w:szCs w:val="24"/>
        </w:rPr>
      </w:pPr>
      <w:r>
        <w:rPr>
          <w:rFonts w:hint="eastAsia" w:ascii="宋体" w:hAnsi="宋体"/>
          <w:kern w:val="0"/>
          <w:sz w:val="24"/>
          <w:szCs w:val="24"/>
        </w:rPr>
        <w:t>从决算单位构成看，纳入新疆昌吉玛纳斯县财政局</w:t>
      </w:r>
      <w:r>
        <w:rPr>
          <w:rFonts w:ascii="宋体" w:hAnsi="宋体"/>
          <w:kern w:val="0"/>
          <w:sz w:val="24"/>
          <w:szCs w:val="24"/>
        </w:rPr>
        <w:t>2018</w:t>
      </w:r>
      <w:r>
        <w:rPr>
          <w:rFonts w:hint="eastAsia" w:ascii="宋体" w:hAnsi="宋体"/>
          <w:kern w:val="0"/>
          <w:sz w:val="24"/>
          <w:szCs w:val="24"/>
        </w:rPr>
        <w:t>年部门决算包括：新疆昌吉玛纳斯县财政局本级决算。</w:t>
      </w:r>
    </w:p>
    <w:p>
      <w:pPr>
        <w:shd w:val="clear" w:color="auto" w:fill="FFFFFF"/>
        <w:spacing w:before="100" w:line="520" w:lineRule="exact"/>
        <w:ind w:firstLine="480"/>
        <w:rPr>
          <w:rFonts w:eastAsia="Times New Roman" w:cs="Times New Roman"/>
          <w:kern w:val="0"/>
          <w:sz w:val="24"/>
          <w:szCs w:val="24"/>
        </w:rPr>
      </w:pPr>
      <w:r>
        <w:rPr>
          <w:rFonts w:hint="eastAsia" w:ascii="宋体" w:hAnsi="宋体"/>
          <w:kern w:val="0"/>
          <w:sz w:val="24"/>
          <w:szCs w:val="24"/>
        </w:rPr>
        <w:t>纳入新疆昌吉玛纳斯县财政局</w:t>
      </w:r>
      <w:r>
        <w:rPr>
          <w:rFonts w:ascii="宋体" w:hAnsi="宋体"/>
          <w:kern w:val="0"/>
          <w:sz w:val="24"/>
          <w:szCs w:val="24"/>
        </w:rPr>
        <w:t>2018</w:t>
      </w:r>
      <w:r>
        <w:rPr>
          <w:rFonts w:hint="eastAsia" w:ascii="宋体" w:hAnsi="宋体"/>
          <w:kern w:val="0"/>
          <w:sz w:val="24"/>
          <w:szCs w:val="24"/>
        </w:rPr>
        <w:t>年部门决算编制范围的单位名单见下表：</w:t>
      </w:r>
    </w:p>
    <w:tbl>
      <w:tblPr>
        <w:tblStyle w:val="4"/>
        <w:tblW w:w="8363" w:type="dxa"/>
        <w:tblInd w:w="534"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10"/>
        <w:gridCol w:w="3846"/>
        <w:gridCol w:w="250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c>
          <w:tcPr>
            <w:tcW w:w="2010" w:type="dxa"/>
            <w:tcBorders>
              <w:top w:val="single" w:color="auto" w:sz="6" w:space="0"/>
              <w:left w:val="single" w:color="auto" w:sz="6" w:space="0"/>
              <w:bottom w:val="single" w:color="auto" w:sz="6" w:space="0"/>
              <w:right w:val="single" w:color="auto" w:sz="6" w:space="0"/>
            </w:tcBorders>
          </w:tcPr>
          <w:p>
            <w:pPr>
              <w:jc w:val="left"/>
              <w:rPr>
                <w:rFonts w:eastAsia="Times New Roman" w:cs="Times New Roman"/>
                <w:kern w:val="0"/>
                <w:sz w:val="24"/>
                <w:szCs w:val="24"/>
              </w:rPr>
            </w:pPr>
            <w:r>
              <w:rPr>
                <w:rFonts w:hint="eastAsia" w:ascii="宋体" w:hAnsi="宋体"/>
                <w:kern w:val="0"/>
                <w:sz w:val="24"/>
                <w:szCs w:val="24"/>
              </w:rPr>
              <w:t>序号</w:t>
            </w:r>
          </w:p>
        </w:tc>
        <w:tc>
          <w:tcPr>
            <w:tcW w:w="3846" w:type="dxa"/>
            <w:tcBorders>
              <w:top w:val="single" w:color="auto" w:sz="6" w:space="0"/>
              <w:left w:val="single" w:color="auto" w:sz="6" w:space="0"/>
              <w:bottom w:val="single" w:color="auto" w:sz="6" w:space="0"/>
              <w:right w:val="single" w:color="auto" w:sz="6" w:space="0"/>
            </w:tcBorders>
          </w:tcPr>
          <w:p>
            <w:pPr>
              <w:jc w:val="left"/>
              <w:rPr>
                <w:rFonts w:eastAsia="Times New Roman" w:cs="Times New Roman"/>
                <w:kern w:val="0"/>
                <w:sz w:val="24"/>
                <w:szCs w:val="24"/>
              </w:rPr>
            </w:pPr>
            <w:r>
              <w:rPr>
                <w:rFonts w:hint="eastAsia" w:ascii="宋体" w:hAnsi="宋体"/>
                <w:kern w:val="0"/>
                <w:sz w:val="24"/>
                <w:szCs w:val="24"/>
              </w:rPr>
              <w:t>单位名称</w:t>
            </w:r>
          </w:p>
        </w:tc>
        <w:tc>
          <w:tcPr>
            <w:tcW w:w="2507" w:type="dxa"/>
            <w:tcBorders>
              <w:top w:val="single" w:color="auto" w:sz="6" w:space="0"/>
              <w:left w:val="single" w:color="auto" w:sz="6" w:space="0"/>
              <w:bottom w:val="single" w:color="auto" w:sz="6" w:space="0"/>
              <w:right w:val="single" w:color="auto" w:sz="6" w:space="0"/>
            </w:tcBorders>
          </w:tcPr>
          <w:p>
            <w:pPr>
              <w:jc w:val="left"/>
              <w:rPr>
                <w:rFonts w:eastAsia="Times New Roman" w:cs="Times New Roman"/>
                <w:kern w:val="0"/>
                <w:sz w:val="24"/>
                <w:szCs w:val="24"/>
              </w:rPr>
            </w:pPr>
            <w:r>
              <w:rPr>
                <w:rFonts w:hint="eastAsia" w:ascii="宋体" w:hAnsi="宋体"/>
                <w:kern w:val="0"/>
                <w:sz w:val="24"/>
                <w:szCs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c>
          <w:tcPr>
            <w:tcW w:w="2010" w:type="dxa"/>
            <w:tcBorders>
              <w:top w:val="single" w:color="auto" w:sz="6" w:space="0"/>
              <w:left w:val="single" w:color="auto" w:sz="6" w:space="0"/>
              <w:bottom w:val="single" w:color="auto" w:sz="6" w:space="0"/>
              <w:right w:val="single" w:color="auto" w:sz="6" w:space="0"/>
            </w:tcBorders>
          </w:tcPr>
          <w:p>
            <w:pPr>
              <w:jc w:val="left"/>
              <w:rPr>
                <w:rFonts w:hint="eastAsia" w:eastAsia="宋体" w:cs="Times New Roman"/>
                <w:kern w:val="0"/>
                <w:sz w:val="24"/>
                <w:szCs w:val="24"/>
                <w:lang w:val="en-US" w:eastAsia="zh-CN"/>
              </w:rPr>
            </w:pPr>
            <w:r>
              <w:rPr>
                <w:rFonts w:hint="eastAsia" w:cs="Times New Roman"/>
                <w:kern w:val="0"/>
                <w:sz w:val="24"/>
                <w:szCs w:val="24"/>
                <w:lang w:val="en-US" w:eastAsia="zh-CN"/>
              </w:rPr>
              <w:t>1</w:t>
            </w:r>
          </w:p>
        </w:tc>
        <w:tc>
          <w:tcPr>
            <w:tcW w:w="3846" w:type="dxa"/>
            <w:tcBorders>
              <w:top w:val="single" w:color="auto" w:sz="6" w:space="0"/>
              <w:left w:val="single" w:color="auto" w:sz="6" w:space="0"/>
              <w:bottom w:val="single" w:color="auto" w:sz="6" w:space="0"/>
              <w:right w:val="single" w:color="auto" w:sz="6" w:space="0"/>
            </w:tcBorders>
          </w:tcPr>
          <w:p>
            <w:pPr>
              <w:jc w:val="left"/>
              <w:rPr>
                <w:rFonts w:eastAsia="Times New Roman" w:cs="Times New Roman"/>
                <w:kern w:val="0"/>
                <w:sz w:val="24"/>
                <w:szCs w:val="24"/>
              </w:rPr>
            </w:pPr>
            <w:r>
              <w:rPr>
                <w:rFonts w:hint="eastAsia" w:ascii="宋体" w:hAnsi="宋体"/>
                <w:kern w:val="0"/>
                <w:sz w:val="24"/>
                <w:szCs w:val="24"/>
              </w:rPr>
              <w:t>新疆昌吉玛纳斯县财政局本级</w:t>
            </w:r>
          </w:p>
        </w:tc>
        <w:tc>
          <w:tcPr>
            <w:tcW w:w="2507" w:type="dxa"/>
            <w:tcBorders>
              <w:top w:val="single" w:color="auto" w:sz="6" w:space="0"/>
              <w:left w:val="single" w:color="auto" w:sz="6" w:space="0"/>
              <w:bottom w:val="single" w:color="auto" w:sz="6" w:space="0"/>
              <w:right w:val="single" w:color="auto" w:sz="6" w:space="0"/>
            </w:tcBorders>
          </w:tcPr>
          <w:p>
            <w:pPr>
              <w:jc w:val="left"/>
              <w:rPr>
                <w:rFonts w:eastAsia="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c>
          <w:tcPr>
            <w:tcW w:w="2010" w:type="dxa"/>
            <w:tcBorders>
              <w:top w:val="single" w:color="auto" w:sz="6" w:space="0"/>
              <w:left w:val="single" w:color="auto" w:sz="6" w:space="0"/>
              <w:bottom w:val="single" w:color="auto" w:sz="6" w:space="0"/>
              <w:right w:val="single" w:color="auto" w:sz="6" w:space="0"/>
            </w:tcBorders>
          </w:tcPr>
          <w:p>
            <w:pPr>
              <w:jc w:val="left"/>
              <w:rPr>
                <w:rFonts w:eastAsia="Times New Roman" w:cs="Times New Roman"/>
                <w:kern w:val="0"/>
                <w:sz w:val="24"/>
                <w:szCs w:val="24"/>
              </w:rPr>
            </w:pPr>
          </w:p>
        </w:tc>
        <w:tc>
          <w:tcPr>
            <w:tcW w:w="3846" w:type="dxa"/>
            <w:tcBorders>
              <w:top w:val="single" w:color="auto" w:sz="6" w:space="0"/>
              <w:left w:val="single" w:color="auto" w:sz="6" w:space="0"/>
              <w:bottom w:val="single" w:color="auto" w:sz="6" w:space="0"/>
              <w:right w:val="single" w:color="auto" w:sz="6" w:space="0"/>
            </w:tcBorders>
          </w:tcPr>
          <w:p>
            <w:pPr>
              <w:jc w:val="left"/>
              <w:rPr>
                <w:rFonts w:eastAsia="Times New Roman" w:cs="Times New Roman"/>
                <w:kern w:val="0"/>
                <w:sz w:val="24"/>
                <w:szCs w:val="24"/>
              </w:rPr>
            </w:pPr>
          </w:p>
        </w:tc>
        <w:tc>
          <w:tcPr>
            <w:tcW w:w="2507" w:type="dxa"/>
            <w:tcBorders>
              <w:top w:val="single" w:color="auto" w:sz="6" w:space="0"/>
              <w:left w:val="single" w:color="auto" w:sz="6" w:space="0"/>
              <w:bottom w:val="single" w:color="auto" w:sz="6" w:space="0"/>
              <w:right w:val="single" w:color="auto" w:sz="6" w:space="0"/>
            </w:tcBorders>
          </w:tcPr>
          <w:p>
            <w:pPr>
              <w:jc w:val="left"/>
              <w:rPr>
                <w:rFonts w:eastAsia="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c>
          <w:tcPr>
            <w:tcW w:w="2010" w:type="dxa"/>
            <w:tcBorders>
              <w:top w:val="single" w:color="auto" w:sz="6" w:space="0"/>
              <w:left w:val="single" w:color="auto" w:sz="6" w:space="0"/>
              <w:bottom w:val="single" w:color="auto" w:sz="6" w:space="0"/>
              <w:right w:val="single" w:color="auto" w:sz="6" w:space="0"/>
            </w:tcBorders>
          </w:tcPr>
          <w:p>
            <w:pPr>
              <w:jc w:val="left"/>
              <w:rPr>
                <w:rFonts w:eastAsia="Times New Roman" w:cs="Times New Roman"/>
                <w:kern w:val="0"/>
                <w:sz w:val="24"/>
                <w:szCs w:val="24"/>
              </w:rPr>
            </w:pPr>
          </w:p>
        </w:tc>
        <w:tc>
          <w:tcPr>
            <w:tcW w:w="3846" w:type="dxa"/>
            <w:tcBorders>
              <w:top w:val="single" w:color="auto" w:sz="6" w:space="0"/>
              <w:left w:val="single" w:color="auto" w:sz="6" w:space="0"/>
              <w:bottom w:val="single" w:color="auto" w:sz="6" w:space="0"/>
              <w:right w:val="single" w:color="auto" w:sz="6" w:space="0"/>
            </w:tcBorders>
          </w:tcPr>
          <w:p>
            <w:pPr>
              <w:jc w:val="left"/>
              <w:rPr>
                <w:rFonts w:eastAsia="Times New Roman" w:cs="Times New Roman"/>
                <w:kern w:val="0"/>
                <w:sz w:val="24"/>
                <w:szCs w:val="24"/>
              </w:rPr>
            </w:pPr>
          </w:p>
        </w:tc>
        <w:tc>
          <w:tcPr>
            <w:tcW w:w="2507" w:type="dxa"/>
            <w:tcBorders>
              <w:top w:val="single" w:color="auto" w:sz="6" w:space="0"/>
              <w:left w:val="single" w:color="auto" w:sz="6" w:space="0"/>
              <w:bottom w:val="single" w:color="auto" w:sz="6" w:space="0"/>
              <w:right w:val="single" w:color="auto" w:sz="6" w:space="0"/>
            </w:tcBorders>
          </w:tcPr>
          <w:p>
            <w:pPr>
              <w:jc w:val="left"/>
              <w:rPr>
                <w:rFonts w:eastAsia="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c>
          <w:tcPr>
            <w:tcW w:w="2010" w:type="dxa"/>
            <w:tcBorders>
              <w:top w:val="single" w:color="auto" w:sz="6" w:space="0"/>
              <w:left w:val="single" w:color="auto" w:sz="6" w:space="0"/>
              <w:bottom w:val="single" w:color="auto" w:sz="6" w:space="0"/>
              <w:right w:val="single" w:color="auto" w:sz="6" w:space="0"/>
            </w:tcBorders>
          </w:tcPr>
          <w:p>
            <w:pPr>
              <w:jc w:val="left"/>
              <w:rPr>
                <w:rFonts w:eastAsia="Times New Roman" w:cs="Times New Roman"/>
                <w:kern w:val="0"/>
                <w:sz w:val="24"/>
                <w:szCs w:val="24"/>
              </w:rPr>
            </w:pPr>
          </w:p>
        </w:tc>
        <w:tc>
          <w:tcPr>
            <w:tcW w:w="3846" w:type="dxa"/>
            <w:tcBorders>
              <w:top w:val="single" w:color="auto" w:sz="6" w:space="0"/>
              <w:left w:val="single" w:color="auto" w:sz="6" w:space="0"/>
              <w:bottom w:val="single" w:color="auto" w:sz="6" w:space="0"/>
              <w:right w:val="single" w:color="auto" w:sz="6" w:space="0"/>
            </w:tcBorders>
          </w:tcPr>
          <w:p>
            <w:pPr>
              <w:jc w:val="left"/>
              <w:rPr>
                <w:rFonts w:eastAsia="Times New Roman" w:cs="Times New Roman"/>
                <w:kern w:val="0"/>
                <w:sz w:val="24"/>
                <w:szCs w:val="24"/>
              </w:rPr>
            </w:pPr>
          </w:p>
        </w:tc>
        <w:tc>
          <w:tcPr>
            <w:tcW w:w="2507" w:type="dxa"/>
            <w:tcBorders>
              <w:top w:val="single" w:color="auto" w:sz="6" w:space="0"/>
              <w:left w:val="single" w:color="auto" w:sz="6" w:space="0"/>
              <w:bottom w:val="single" w:color="auto" w:sz="6" w:space="0"/>
              <w:right w:val="single" w:color="auto" w:sz="6" w:space="0"/>
            </w:tcBorders>
          </w:tcPr>
          <w:p>
            <w:pPr>
              <w:jc w:val="left"/>
              <w:rPr>
                <w:rFonts w:eastAsia="Times New Roman" w:cs="Times New Roman"/>
                <w:kern w:val="0"/>
                <w:sz w:val="24"/>
                <w:szCs w:val="24"/>
              </w:rPr>
            </w:pPr>
          </w:p>
        </w:tc>
      </w:tr>
    </w:tbl>
    <w:p>
      <w:pPr>
        <w:shd w:val="clear" w:color="auto" w:fill="FFFFFF"/>
        <w:spacing w:before="100" w:line="520" w:lineRule="exact"/>
        <w:ind w:firstLine="480"/>
        <w:rPr>
          <w:rFonts w:cs="Times New Roman"/>
          <w:kern w:val="0"/>
          <w:sz w:val="24"/>
          <w:szCs w:val="24"/>
        </w:rPr>
      </w:pPr>
      <w:r>
        <w:rPr>
          <w:rFonts w:hint="eastAsia" w:ascii="宋体" w:hAnsi="宋体"/>
          <w:kern w:val="0"/>
          <w:sz w:val="24"/>
          <w:szCs w:val="24"/>
        </w:rPr>
        <w:t>玛纳斯县财政局无下属预算单位，下设</w:t>
      </w:r>
      <w:r>
        <w:rPr>
          <w:rFonts w:ascii="宋体" w:hAnsi="宋体"/>
          <w:kern w:val="0"/>
          <w:sz w:val="24"/>
          <w:szCs w:val="24"/>
        </w:rPr>
        <w:t>14</w:t>
      </w:r>
      <w:r>
        <w:rPr>
          <w:rFonts w:hint="eastAsia" w:ascii="宋体" w:hAnsi="宋体"/>
          <w:kern w:val="0"/>
          <w:sz w:val="24"/>
          <w:szCs w:val="24"/>
        </w:rPr>
        <w:t>个处室，分别是：行政办公室、预算股、文行股、社保股、经济建设股、农业财务股、国库股、企业股、金融办、国库支付中心综合业务股、国有企业监事会办公室、监督股、综合业务股、会计股。</w:t>
      </w:r>
    </w:p>
    <w:p>
      <w:pPr>
        <w:shd w:val="clear" w:color="auto" w:fill="FFFFFF"/>
        <w:spacing w:before="100" w:line="520" w:lineRule="exact"/>
        <w:ind w:firstLine="480"/>
        <w:rPr>
          <w:rFonts w:eastAsia="Times New Roman" w:cs="Times New Roman"/>
          <w:kern w:val="0"/>
          <w:sz w:val="24"/>
          <w:szCs w:val="24"/>
        </w:rPr>
      </w:pPr>
    </w:p>
    <w:p>
      <w:pPr>
        <w:shd w:val="clear" w:color="auto" w:fill="FFFFFF"/>
        <w:spacing w:before="100" w:after="240"/>
        <w:jc w:val="center"/>
        <w:rPr>
          <w:rFonts w:eastAsia="Times New Roman" w:cs="Times New Roman"/>
          <w:kern w:val="0"/>
          <w:sz w:val="24"/>
          <w:szCs w:val="24"/>
        </w:rPr>
      </w:pPr>
      <w:r>
        <w:rPr>
          <w:rFonts w:hint="eastAsia" w:ascii="宋体" w:hAnsi="宋体"/>
          <w:b/>
          <w:bCs/>
          <w:kern w:val="0"/>
          <w:sz w:val="24"/>
          <w:szCs w:val="24"/>
        </w:rPr>
        <w:t>第二部分</w:t>
      </w:r>
      <w:r>
        <w:rPr>
          <w:rFonts w:ascii="宋体" w:hAnsi="宋体"/>
          <w:b/>
          <w:bCs/>
          <w:kern w:val="0"/>
          <w:sz w:val="24"/>
          <w:szCs w:val="24"/>
        </w:rPr>
        <w:t xml:space="preserve"> </w:t>
      </w:r>
      <w:r>
        <w:rPr>
          <w:rFonts w:hint="eastAsia" w:ascii="宋体" w:hAnsi="宋体"/>
          <w:b/>
          <w:bCs/>
          <w:kern w:val="0"/>
          <w:sz w:val="24"/>
          <w:szCs w:val="24"/>
        </w:rPr>
        <w:t>新疆昌吉玛纳斯县财政局</w:t>
      </w:r>
      <w:r>
        <w:rPr>
          <w:rFonts w:ascii="宋体" w:hAnsi="宋体"/>
          <w:b/>
          <w:bCs/>
          <w:kern w:val="0"/>
          <w:sz w:val="24"/>
          <w:szCs w:val="24"/>
        </w:rPr>
        <w:t>2018</w:t>
      </w:r>
      <w:r>
        <w:rPr>
          <w:rFonts w:hint="eastAsia" w:ascii="宋体" w:hAnsi="宋体"/>
          <w:b/>
          <w:bCs/>
          <w:kern w:val="0"/>
          <w:sz w:val="24"/>
          <w:szCs w:val="24"/>
        </w:rPr>
        <w:t>年度部门决算情况说明</w:t>
      </w:r>
    </w:p>
    <w:p>
      <w:pPr>
        <w:shd w:val="clear" w:color="auto" w:fill="FFFFFF"/>
        <w:spacing w:before="100" w:after="240"/>
        <w:rPr>
          <w:rFonts w:eastAsia="Times New Roman" w:cs="Times New Roman"/>
          <w:b/>
          <w:bCs/>
          <w:kern w:val="0"/>
          <w:sz w:val="24"/>
          <w:szCs w:val="24"/>
        </w:rPr>
      </w:pPr>
      <w:r>
        <w:rPr>
          <w:rFonts w:hint="eastAsia" w:ascii="宋体" w:hAnsi="宋体"/>
          <w:b/>
          <w:bCs/>
          <w:kern w:val="0"/>
          <w:sz w:val="24"/>
          <w:szCs w:val="24"/>
        </w:rPr>
        <w:t>一、部门收支总体情况</w:t>
      </w:r>
    </w:p>
    <w:p>
      <w:pPr>
        <w:shd w:val="clear" w:color="auto" w:fill="FFFFFF"/>
        <w:spacing w:before="100" w:after="240"/>
        <w:rPr>
          <w:rFonts w:eastAsia="Times New Roman" w:cs="Times New Roman"/>
          <w:b/>
          <w:bCs/>
          <w:kern w:val="0"/>
          <w:sz w:val="24"/>
          <w:szCs w:val="24"/>
        </w:rPr>
      </w:pPr>
      <w:r>
        <w:rPr>
          <w:rFonts w:ascii="宋体" w:hAnsi="宋体"/>
          <w:b/>
          <w:bCs/>
          <w:kern w:val="0"/>
          <w:sz w:val="24"/>
          <w:szCs w:val="24"/>
        </w:rPr>
        <w:t>(</w:t>
      </w:r>
      <w:r>
        <w:rPr>
          <w:rFonts w:hint="eastAsia" w:ascii="宋体" w:hAnsi="宋体"/>
          <w:b/>
          <w:bCs/>
          <w:kern w:val="0"/>
          <w:sz w:val="24"/>
          <w:szCs w:val="24"/>
        </w:rPr>
        <w:t>一</w:t>
      </w:r>
      <w:r>
        <w:rPr>
          <w:rFonts w:ascii="宋体" w:hAnsi="宋体"/>
          <w:b/>
          <w:bCs/>
          <w:kern w:val="0"/>
          <w:sz w:val="24"/>
          <w:szCs w:val="24"/>
        </w:rPr>
        <w:t>)</w:t>
      </w:r>
      <w:r>
        <w:rPr>
          <w:rFonts w:hint="eastAsia" w:ascii="宋体" w:hAnsi="宋体"/>
          <w:b/>
          <w:bCs/>
          <w:kern w:val="0"/>
          <w:sz w:val="24"/>
          <w:szCs w:val="24"/>
        </w:rPr>
        <w:t>部门收入支出决算总体情况说明</w:t>
      </w:r>
    </w:p>
    <w:p>
      <w:pPr>
        <w:spacing w:line="520" w:lineRule="exact"/>
        <w:ind w:firstLine="480"/>
        <w:rPr>
          <w:rFonts w:eastAsia="Times New Roman" w:cs="Times New Roman"/>
          <w:kern w:val="0"/>
          <w:sz w:val="24"/>
          <w:szCs w:val="24"/>
        </w:rPr>
      </w:pPr>
      <w:r>
        <w:rPr>
          <w:rFonts w:ascii="宋体" w:hAnsi="宋体"/>
          <w:kern w:val="0"/>
          <w:sz w:val="24"/>
          <w:szCs w:val="24"/>
        </w:rPr>
        <w:t>2018</w:t>
      </w:r>
      <w:r>
        <w:rPr>
          <w:rFonts w:hint="eastAsia" w:ascii="宋体" w:hAnsi="宋体"/>
          <w:kern w:val="0"/>
          <w:sz w:val="24"/>
          <w:szCs w:val="24"/>
        </w:rPr>
        <w:t>年度收入</w:t>
      </w:r>
      <w:r>
        <w:rPr>
          <w:rFonts w:ascii="宋体" w:hAnsi="宋体"/>
          <w:kern w:val="0"/>
          <w:sz w:val="24"/>
          <w:szCs w:val="24"/>
        </w:rPr>
        <w:t>839.37</w:t>
      </w:r>
      <w:r>
        <w:rPr>
          <w:rFonts w:hint="eastAsia" w:ascii="宋体" w:hAnsi="宋体"/>
          <w:kern w:val="0"/>
          <w:sz w:val="24"/>
          <w:szCs w:val="24"/>
        </w:rPr>
        <w:t>万元，与上年相比，</w:t>
      </w:r>
      <w:r>
        <w:rPr>
          <w:rFonts w:hint="eastAsia" w:ascii="宋体" w:hAnsi="宋体"/>
          <w:color w:val="000000"/>
          <w:kern w:val="0"/>
          <w:sz w:val="24"/>
          <w:szCs w:val="24"/>
        </w:rPr>
        <w:t>增加</w:t>
      </w:r>
      <w:r>
        <w:rPr>
          <w:rFonts w:ascii="宋体" w:hAnsi="宋体"/>
          <w:kern w:val="0"/>
          <w:sz w:val="24"/>
          <w:szCs w:val="24"/>
        </w:rPr>
        <w:t>29.38</w:t>
      </w:r>
      <w:r>
        <w:rPr>
          <w:rFonts w:hint="eastAsia" w:ascii="宋体" w:hAnsi="宋体"/>
          <w:kern w:val="0"/>
          <w:sz w:val="24"/>
          <w:szCs w:val="24"/>
        </w:rPr>
        <w:t>万元，</w:t>
      </w:r>
      <w:r>
        <w:rPr>
          <w:rFonts w:hint="eastAsia" w:ascii="宋体" w:hAnsi="宋体"/>
          <w:color w:val="000000"/>
          <w:kern w:val="0"/>
          <w:sz w:val="24"/>
          <w:szCs w:val="24"/>
        </w:rPr>
        <w:t>增长</w:t>
      </w:r>
      <w:r>
        <w:rPr>
          <w:rFonts w:ascii="宋体" w:hAnsi="宋体"/>
          <w:kern w:val="0"/>
          <w:sz w:val="24"/>
          <w:szCs w:val="24"/>
        </w:rPr>
        <w:t>3.63%</w:t>
      </w:r>
      <w:r>
        <w:rPr>
          <w:rFonts w:hint="eastAsia" w:ascii="宋体" w:hAnsi="宋体"/>
          <w:kern w:val="0"/>
          <w:sz w:val="24"/>
          <w:szCs w:val="24"/>
        </w:rPr>
        <w:t>，增减变化主要原因是政策性调资增资导致</w:t>
      </w:r>
      <w:r>
        <w:rPr>
          <w:rFonts w:ascii="宋体" w:hAnsi="宋体"/>
          <w:kern w:val="0"/>
          <w:sz w:val="24"/>
          <w:szCs w:val="24"/>
        </w:rPr>
        <w:t>2018</w:t>
      </w:r>
      <w:r>
        <w:rPr>
          <w:rFonts w:hint="eastAsia" w:ascii="宋体" w:hAnsi="宋体"/>
          <w:kern w:val="0"/>
          <w:sz w:val="24"/>
          <w:szCs w:val="24"/>
        </w:rPr>
        <w:t>年人员工资调整增加，本年拨款增加；支出</w:t>
      </w:r>
      <w:r>
        <w:rPr>
          <w:rFonts w:ascii="宋体" w:hAnsi="宋体"/>
          <w:kern w:val="0"/>
          <w:sz w:val="24"/>
          <w:szCs w:val="24"/>
        </w:rPr>
        <w:t>839.37</w:t>
      </w:r>
      <w:r>
        <w:rPr>
          <w:rFonts w:hint="eastAsia" w:ascii="宋体" w:hAnsi="宋体"/>
          <w:kern w:val="0"/>
          <w:sz w:val="24"/>
          <w:szCs w:val="24"/>
        </w:rPr>
        <w:t>万元，与上年相比，</w:t>
      </w:r>
      <w:r>
        <w:rPr>
          <w:rFonts w:hint="eastAsia" w:ascii="宋体" w:hAnsi="宋体"/>
          <w:color w:val="000000"/>
          <w:kern w:val="0"/>
          <w:sz w:val="24"/>
          <w:szCs w:val="24"/>
        </w:rPr>
        <w:t>增加</w:t>
      </w:r>
      <w:r>
        <w:rPr>
          <w:rFonts w:ascii="宋体" w:hAnsi="宋体"/>
          <w:kern w:val="0"/>
          <w:sz w:val="24"/>
          <w:szCs w:val="24"/>
        </w:rPr>
        <w:t>30.57</w:t>
      </w:r>
      <w:r>
        <w:rPr>
          <w:rFonts w:hint="eastAsia" w:ascii="宋体" w:hAnsi="宋体"/>
          <w:kern w:val="0"/>
          <w:sz w:val="24"/>
          <w:szCs w:val="24"/>
        </w:rPr>
        <w:t>万元，</w:t>
      </w:r>
      <w:r>
        <w:rPr>
          <w:rFonts w:hint="eastAsia" w:ascii="宋体" w:hAnsi="宋体"/>
          <w:color w:val="000000"/>
          <w:kern w:val="0"/>
          <w:sz w:val="24"/>
          <w:szCs w:val="24"/>
        </w:rPr>
        <w:t>增长</w:t>
      </w:r>
      <w:r>
        <w:rPr>
          <w:rFonts w:ascii="宋体" w:hAnsi="宋体"/>
          <w:kern w:val="0"/>
          <w:sz w:val="24"/>
          <w:szCs w:val="24"/>
        </w:rPr>
        <w:t>3.78%</w:t>
      </w:r>
      <w:r>
        <w:rPr>
          <w:rFonts w:hint="eastAsia" w:ascii="宋体" w:hAnsi="宋体"/>
          <w:kern w:val="0"/>
          <w:sz w:val="24"/>
          <w:szCs w:val="24"/>
        </w:rPr>
        <w:t>，增减变化主要原因是政策性调资增资导致人员工资调整增加，增加其他财政事务支出，同时支出增大；结余</w:t>
      </w:r>
      <w:r>
        <w:rPr>
          <w:rFonts w:ascii="宋体" w:hAnsi="宋体"/>
          <w:kern w:val="0"/>
          <w:sz w:val="24"/>
          <w:szCs w:val="24"/>
        </w:rPr>
        <w:t>65.35</w:t>
      </w:r>
      <w:r>
        <w:rPr>
          <w:rFonts w:hint="eastAsia" w:ascii="宋体" w:hAnsi="宋体"/>
          <w:kern w:val="0"/>
          <w:sz w:val="24"/>
          <w:szCs w:val="24"/>
        </w:rPr>
        <w:t>万元，与上年相比，</w:t>
      </w:r>
      <w:r>
        <w:rPr>
          <w:rFonts w:hint="eastAsia" w:ascii="宋体" w:hAnsi="宋体"/>
          <w:color w:val="000000"/>
          <w:kern w:val="0"/>
          <w:sz w:val="24"/>
          <w:szCs w:val="24"/>
        </w:rPr>
        <w:t>增加</w:t>
      </w:r>
      <w:r>
        <w:rPr>
          <w:rFonts w:ascii="宋体"/>
          <w:kern w:val="0"/>
          <w:sz w:val="24"/>
          <w:szCs w:val="24"/>
        </w:rPr>
        <w:t>0</w:t>
      </w:r>
      <w:r>
        <w:rPr>
          <w:rFonts w:hint="eastAsia" w:ascii="宋体" w:hAnsi="宋体"/>
          <w:kern w:val="0"/>
          <w:sz w:val="24"/>
          <w:szCs w:val="24"/>
        </w:rPr>
        <w:t>万元，</w:t>
      </w:r>
      <w:r>
        <w:rPr>
          <w:rFonts w:hint="eastAsia" w:ascii="宋体" w:hAnsi="宋体"/>
          <w:color w:val="000000"/>
          <w:kern w:val="0"/>
          <w:sz w:val="24"/>
          <w:szCs w:val="24"/>
        </w:rPr>
        <w:t>增长</w:t>
      </w:r>
      <w:r>
        <w:rPr>
          <w:rFonts w:ascii="宋体" w:hAnsi="宋体"/>
          <w:kern w:val="0"/>
          <w:sz w:val="24"/>
          <w:szCs w:val="24"/>
        </w:rPr>
        <w:t>0%</w:t>
      </w:r>
      <w:r>
        <w:rPr>
          <w:rFonts w:hint="eastAsia" w:ascii="宋体" w:hAnsi="宋体"/>
          <w:kern w:val="0"/>
          <w:sz w:val="24"/>
          <w:szCs w:val="24"/>
        </w:rPr>
        <w:t>，增减变化主要原因是本年无变化。</w:t>
      </w:r>
    </w:p>
    <w:p>
      <w:pPr>
        <w:shd w:val="clear" w:color="auto" w:fill="FFFFFF"/>
        <w:spacing w:before="100" w:after="240"/>
        <w:jc w:val="left"/>
        <w:rPr>
          <w:rFonts w:ascii="宋体"/>
          <w:kern w:val="0"/>
          <w:sz w:val="24"/>
          <w:szCs w:val="24"/>
        </w:rPr>
      </w:pPr>
    </w:p>
    <w:p>
      <w:pPr>
        <w:shd w:val="clear" w:color="auto" w:fill="FFFFFF"/>
        <w:spacing w:before="100" w:after="240"/>
        <w:jc w:val="left"/>
        <w:rPr>
          <w:rFonts w:eastAsia="Times New Roman" w:cs="Times New Roman"/>
          <w:kern w:val="0"/>
          <w:sz w:val="24"/>
          <w:szCs w:val="24"/>
        </w:rPr>
      </w:pPr>
      <w:r>
        <w:rPr>
          <w:rFonts w:hint="eastAsia" w:ascii="宋体" w:hAnsi="宋体"/>
          <w:b/>
          <w:bCs/>
          <w:kern w:val="0"/>
          <w:sz w:val="24"/>
          <w:szCs w:val="24"/>
        </w:rPr>
        <w:t>（二）部门收入总体情况说明</w:t>
      </w:r>
    </w:p>
    <w:p>
      <w:pPr>
        <w:shd w:val="clear" w:color="auto" w:fill="FFFFFF"/>
        <w:spacing w:before="100" w:line="520" w:lineRule="exact"/>
        <w:ind w:firstLine="480"/>
        <w:rPr>
          <w:rFonts w:ascii="宋体"/>
          <w:kern w:val="0"/>
          <w:sz w:val="24"/>
          <w:szCs w:val="24"/>
        </w:rPr>
      </w:pPr>
      <w:r>
        <w:rPr>
          <w:rFonts w:hint="eastAsia" w:ascii="宋体" w:hAnsi="宋体"/>
          <w:kern w:val="0"/>
          <w:sz w:val="24"/>
          <w:szCs w:val="24"/>
        </w:rPr>
        <w:t>本年收入合计</w:t>
      </w:r>
      <w:r>
        <w:rPr>
          <w:rFonts w:ascii="宋体" w:hAnsi="宋体"/>
          <w:kern w:val="0"/>
          <w:sz w:val="24"/>
          <w:szCs w:val="24"/>
        </w:rPr>
        <w:t>839.37</w:t>
      </w:r>
      <w:r>
        <w:rPr>
          <w:rFonts w:hint="eastAsia" w:ascii="宋体" w:hAnsi="宋体"/>
          <w:kern w:val="0"/>
          <w:sz w:val="24"/>
          <w:szCs w:val="24"/>
        </w:rPr>
        <w:t>万元，其中：财政拨款收入</w:t>
      </w:r>
      <w:r>
        <w:rPr>
          <w:rFonts w:ascii="宋体" w:hAnsi="宋体"/>
          <w:kern w:val="0"/>
          <w:sz w:val="24"/>
          <w:szCs w:val="24"/>
        </w:rPr>
        <w:t>839.2</w:t>
      </w:r>
      <w:r>
        <w:rPr>
          <w:rFonts w:hint="eastAsia" w:ascii="宋体" w:hAnsi="宋体"/>
          <w:kern w:val="0"/>
          <w:sz w:val="24"/>
          <w:szCs w:val="24"/>
        </w:rPr>
        <w:t>万元，占</w:t>
      </w:r>
      <w:r>
        <w:rPr>
          <w:rFonts w:ascii="宋体" w:hAnsi="宋体"/>
          <w:kern w:val="0"/>
          <w:sz w:val="24"/>
          <w:szCs w:val="24"/>
        </w:rPr>
        <w:t>99.98%</w:t>
      </w:r>
      <w:r>
        <w:rPr>
          <w:rFonts w:hint="eastAsia" w:ascii="宋体" w:hAnsi="宋体"/>
          <w:kern w:val="0"/>
          <w:sz w:val="24"/>
          <w:szCs w:val="24"/>
        </w:rPr>
        <w:t>；上级补助收入</w:t>
      </w:r>
      <w:r>
        <w:rPr>
          <w:rFonts w:ascii="宋体"/>
          <w:kern w:val="0"/>
          <w:sz w:val="24"/>
          <w:szCs w:val="24"/>
        </w:rPr>
        <w:t>0</w:t>
      </w:r>
      <w:r>
        <w:rPr>
          <w:rFonts w:hint="eastAsia" w:ascii="宋体" w:hAnsi="宋体"/>
          <w:kern w:val="0"/>
          <w:sz w:val="24"/>
          <w:szCs w:val="24"/>
        </w:rPr>
        <w:t>万元，占</w:t>
      </w:r>
      <w:r>
        <w:rPr>
          <w:rFonts w:ascii="宋体" w:hAnsi="宋体"/>
          <w:kern w:val="0"/>
          <w:sz w:val="24"/>
          <w:szCs w:val="24"/>
        </w:rPr>
        <w:t>0%</w:t>
      </w:r>
      <w:r>
        <w:rPr>
          <w:rFonts w:hint="eastAsia" w:ascii="宋体" w:hAnsi="宋体"/>
          <w:kern w:val="0"/>
          <w:sz w:val="24"/>
          <w:szCs w:val="24"/>
        </w:rPr>
        <w:t>；事业收入</w:t>
      </w:r>
      <w:r>
        <w:rPr>
          <w:rFonts w:ascii="宋体"/>
          <w:kern w:val="0"/>
          <w:sz w:val="24"/>
          <w:szCs w:val="24"/>
        </w:rPr>
        <w:t>0</w:t>
      </w:r>
      <w:r>
        <w:rPr>
          <w:rFonts w:hint="eastAsia" w:ascii="宋体" w:hAnsi="宋体"/>
          <w:kern w:val="0"/>
          <w:sz w:val="24"/>
          <w:szCs w:val="24"/>
        </w:rPr>
        <w:t>万元，占</w:t>
      </w:r>
      <w:r>
        <w:rPr>
          <w:rFonts w:ascii="宋体" w:hAnsi="宋体"/>
          <w:kern w:val="0"/>
          <w:sz w:val="24"/>
          <w:szCs w:val="24"/>
        </w:rPr>
        <w:t>0%</w:t>
      </w:r>
      <w:r>
        <w:rPr>
          <w:rFonts w:hint="eastAsia" w:ascii="宋体" w:hAnsi="宋体"/>
          <w:kern w:val="0"/>
          <w:sz w:val="24"/>
          <w:szCs w:val="24"/>
        </w:rPr>
        <w:t>；经营收入</w:t>
      </w:r>
      <w:r>
        <w:rPr>
          <w:rFonts w:ascii="宋体"/>
          <w:kern w:val="0"/>
          <w:sz w:val="24"/>
          <w:szCs w:val="24"/>
        </w:rPr>
        <w:t>0</w:t>
      </w:r>
      <w:r>
        <w:rPr>
          <w:rFonts w:hint="eastAsia" w:ascii="宋体" w:hAnsi="宋体"/>
          <w:kern w:val="0"/>
          <w:sz w:val="24"/>
          <w:szCs w:val="24"/>
        </w:rPr>
        <w:t>万元，占</w:t>
      </w:r>
      <w:r>
        <w:rPr>
          <w:rFonts w:ascii="宋体" w:hAnsi="宋体"/>
          <w:kern w:val="0"/>
          <w:sz w:val="24"/>
          <w:szCs w:val="24"/>
        </w:rPr>
        <w:t>0%</w:t>
      </w:r>
      <w:r>
        <w:rPr>
          <w:rFonts w:hint="eastAsia" w:ascii="宋体" w:hAnsi="宋体"/>
          <w:kern w:val="0"/>
          <w:sz w:val="24"/>
          <w:szCs w:val="24"/>
        </w:rPr>
        <w:t>；附属单位缴款</w:t>
      </w:r>
      <w:r>
        <w:rPr>
          <w:rFonts w:ascii="宋体"/>
          <w:kern w:val="0"/>
          <w:sz w:val="24"/>
          <w:szCs w:val="24"/>
        </w:rPr>
        <w:t>0</w:t>
      </w:r>
      <w:r>
        <w:rPr>
          <w:rFonts w:hint="eastAsia" w:ascii="宋体" w:hAnsi="宋体"/>
          <w:kern w:val="0"/>
          <w:sz w:val="24"/>
          <w:szCs w:val="24"/>
        </w:rPr>
        <w:t>万元，占</w:t>
      </w:r>
      <w:r>
        <w:rPr>
          <w:rFonts w:ascii="宋体" w:hAnsi="宋体"/>
          <w:kern w:val="0"/>
          <w:sz w:val="24"/>
          <w:szCs w:val="24"/>
        </w:rPr>
        <w:t>0%</w:t>
      </w:r>
      <w:r>
        <w:rPr>
          <w:rFonts w:hint="eastAsia" w:ascii="宋体" w:hAnsi="宋体"/>
          <w:kern w:val="0"/>
          <w:sz w:val="24"/>
          <w:szCs w:val="24"/>
        </w:rPr>
        <w:t>；其他收入</w:t>
      </w:r>
      <w:r>
        <w:rPr>
          <w:rFonts w:ascii="宋体" w:hAnsi="宋体"/>
          <w:kern w:val="0"/>
          <w:sz w:val="24"/>
          <w:szCs w:val="24"/>
        </w:rPr>
        <w:t>0.17</w:t>
      </w:r>
      <w:r>
        <w:rPr>
          <w:rFonts w:hint="eastAsia" w:ascii="宋体" w:hAnsi="宋体"/>
          <w:kern w:val="0"/>
          <w:sz w:val="24"/>
          <w:szCs w:val="24"/>
        </w:rPr>
        <w:t>万元，占</w:t>
      </w:r>
      <w:r>
        <w:rPr>
          <w:rFonts w:ascii="宋体" w:hAnsi="宋体"/>
          <w:kern w:val="0"/>
          <w:sz w:val="24"/>
          <w:szCs w:val="24"/>
        </w:rPr>
        <w:t>0.02%</w:t>
      </w:r>
      <w:r>
        <w:rPr>
          <w:rFonts w:hint="eastAsia" w:ascii="宋体" w:hAnsi="宋体"/>
          <w:kern w:val="0"/>
          <w:sz w:val="24"/>
          <w:szCs w:val="24"/>
        </w:rPr>
        <w:t>。</w:t>
      </w:r>
    </w:p>
    <w:p>
      <w:pPr>
        <w:shd w:val="clear" w:color="auto" w:fill="FFFFFF"/>
        <w:spacing w:before="100" w:line="520" w:lineRule="exact"/>
        <w:ind w:firstLine="480"/>
        <w:rPr>
          <w:rFonts w:eastAsia="Times New Roman" w:cs="Times New Roman"/>
          <w:kern w:val="0"/>
          <w:sz w:val="24"/>
          <w:szCs w:val="24"/>
        </w:rPr>
      </w:pPr>
      <w:r>
        <w:rPr>
          <w:rFonts w:hint="eastAsia" w:ascii="宋体" w:hAnsi="宋体"/>
          <w:kern w:val="0"/>
          <w:sz w:val="24"/>
          <w:szCs w:val="24"/>
        </w:rPr>
        <w:t>与年初预算数相比情况：本年收入年初预算数</w:t>
      </w:r>
      <w:r>
        <w:rPr>
          <w:rFonts w:ascii="宋体" w:hAnsi="宋体"/>
          <w:kern w:val="0"/>
          <w:sz w:val="24"/>
          <w:szCs w:val="24"/>
        </w:rPr>
        <w:t>677.16</w:t>
      </w:r>
      <w:r>
        <w:rPr>
          <w:rFonts w:hint="eastAsia" w:ascii="宋体" w:hAnsi="宋体"/>
          <w:kern w:val="0"/>
          <w:sz w:val="24"/>
          <w:szCs w:val="24"/>
        </w:rPr>
        <w:t>万元，决算数</w:t>
      </w:r>
      <w:r>
        <w:rPr>
          <w:rFonts w:ascii="宋体" w:hAnsi="宋体"/>
          <w:kern w:val="0"/>
          <w:sz w:val="24"/>
          <w:szCs w:val="24"/>
        </w:rPr>
        <w:t>839.37</w:t>
      </w:r>
      <w:r>
        <w:rPr>
          <w:rFonts w:hint="eastAsia" w:ascii="宋体" w:hAnsi="宋体"/>
          <w:kern w:val="0"/>
          <w:sz w:val="24"/>
          <w:szCs w:val="24"/>
        </w:rPr>
        <w:t>万元，预决算差异率</w:t>
      </w:r>
      <w:r>
        <w:rPr>
          <w:rFonts w:ascii="宋体" w:hAnsi="宋体"/>
          <w:kern w:val="0"/>
          <w:sz w:val="24"/>
          <w:szCs w:val="24"/>
        </w:rPr>
        <w:t>23.95%</w:t>
      </w:r>
      <w:r>
        <w:rPr>
          <w:rFonts w:hint="eastAsia" w:ascii="宋体" w:hAnsi="宋体"/>
          <w:kern w:val="0"/>
          <w:sz w:val="24"/>
          <w:szCs w:val="24"/>
        </w:rPr>
        <w:t>。差异主要原因政策性调资增资导致</w:t>
      </w:r>
      <w:r>
        <w:rPr>
          <w:rFonts w:ascii="宋体" w:hAnsi="宋体"/>
          <w:kern w:val="0"/>
          <w:sz w:val="24"/>
          <w:szCs w:val="24"/>
        </w:rPr>
        <w:t>2018</w:t>
      </w:r>
      <w:r>
        <w:rPr>
          <w:rFonts w:hint="eastAsia" w:ascii="宋体" w:hAnsi="宋体"/>
          <w:kern w:val="0"/>
          <w:sz w:val="24"/>
          <w:szCs w:val="24"/>
        </w:rPr>
        <w:t>年人员工资调整，本年拨款增加。</w:t>
      </w:r>
    </w:p>
    <w:p>
      <w:pPr>
        <w:shd w:val="clear" w:color="auto" w:fill="FFFFFF"/>
        <w:spacing w:before="100" w:after="240"/>
        <w:jc w:val="left"/>
        <w:rPr>
          <w:rFonts w:ascii="宋体"/>
          <w:kern w:val="0"/>
          <w:sz w:val="24"/>
          <w:szCs w:val="24"/>
        </w:rPr>
      </w:pPr>
    </w:p>
    <w:p>
      <w:pPr>
        <w:shd w:val="clear" w:color="auto" w:fill="FFFFFF"/>
        <w:spacing w:before="100" w:after="240"/>
        <w:jc w:val="left"/>
        <w:rPr>
          <w:rFonts w:eastAsia="Times New Roman" w:cs="Times New Roman"/>
          <w:kern w:val="0"/>
          <w:sz w:val="24"/>
          <w:szCs w:val="24"/>
        </w:rPr>
      </w:pPr>
      <w:r>
        <w:rPr>
          <w:rFonts w:hint="eastAsia" w:ascii="宋体" w:hAnsi="宋体"/>
          <w:b/>
          <w:bCs/>
          <w:kern w:val="0"/>
          <w:sz w:val="24"/>
          <w:szCs w:val="24"/>
        </w:rPr>
        <w:t>（三）部门支出总体情况说明</w:t>
      </w:r>
    </w:p>
    <w:p>
      <w:pPr>
        <w:shd w:val="clear" w:color="auto" w:fill="FFFFFF"/>
        <w:spacing w:before="100" w:line="520" w:lineRule="exact"/>
        <w:ind w:firstLine="480"/>
        <w:rPr>
          <w:rFonts w:eastAsia="Times New Roman" w:cs="Times New Roman"/>
          <w:kern w:val="0"/>
          <w:sz w:val="24"/>
          <w:szCs w:val="24"/>
        </w:rPr>
      </w:pPr>
      <w:r>
        <w:rPr>
          <w:rFonts w:hint="eastAsia" w:ascii="宋体" w:hAnsi="宋体"/>
          <w:kern w:val="0"/>
          <w:sz w:val="24"/>
          <w:szCs w:val="24"/>
        </w:rPr>
        <w:t>本年支出合计</w:t>
      </w:r>
      <w:r>
        <w:rPr>
          <w:rFonts w:ascii="宋体" w:hAnsi="宋体"/>
          <w:kern w:val="0"/>
          <w:sz w:val="24"/>
          <w:szCs w:val="24"/>
        </w:rPr>
        <w:t>839.37</w:t>
      </w:r>
      <w:r>
        <w:rPr>
          <w:rFonts w:hint="eastAsia" w:ascii="宋体" w:hAnsi="宋体"/>
          <w:kern w:val="0"/>
          <w:sz w:val="24"/>
          <w:szCs w:val="24"/>
        </w:rPr>
        <w:t>万元，其中，基本支出</w:t>
      </w:r>
      <w:r>
        <w:rPr>
          <w:rFonts w:ascii="宋体" w:hAnsi="宋体"/>
          <w:kern w:val="0"/>
          <w:sz w:val="24"/>
          <w:szCs w:val="24"/>
        </w:rPr>
        <w:t>838.77</w:t>
      </w:r>
      <w:r>
        <w:rPr>
          <w:rFonts w:hint="eastAsia" w:ascii="宋体" w:hAnsi="宋体"/>
          <w:kern w:val="0"/>
          <w:sz w:val="24"/>
          <w:szCs w:val="24"/>
        </w:rPr>
        <w:t>万元，占</w:t>
      </w:r>
      <w:r>
        <w:rPr>
          <w:rFonts w:ascii="宋体" w:hAnsi="宋体"/>
          <w:kern w:val="0"/>
          <w:sz w:val="24"/>
          <w:szCs w:val="24"/>
        </w:rPr>
        <w:t>99.93%</w:t>
      </w:r>
      <w:r>
        <w:rPr>
          <w:rFonts w:hint="eastAsia" w:ascii="宋体" w:hAnsi="宋体"/>
          <w:kern w:val="0"/>
          <w:sz w:val="24"/>
          <w:szCs w:val="24"/>
        </w:rPr>
        <w:t>；项目支出</w:t>
      </w:r>
      <w:r>
        <w:rPr>
          <w:rFonts w:ascii="宋体" w:hAnsi="宋体"/>
          <w:kern w:val="0"/>
          <w:sz w:val="24"/>
          <w:szCs w:val="24"/>
        </w:rPr>
        <w:t>0.6</w:t>
      </w:r>
      <w:r>
        <w:rPr>
          <w:rFonts w:hint="eastAsia" w:ascii="宋体" w:hAnsi="宋体"/>
          <w:kern w:val="0"/>
          <w:sz w:val="24"/>
          <w:szCs w:val="24"/>
        </w:rPr>
        <w:t>万元</w:t>
      </w:r>
      <w:r>
        <w:rPr>
          <w:rFonts w:eastAsia="Times New Roman" w:cs="Times New Roman"/>
          <w:kern w:val="0"/>
          <w:sz w:val="24"/>
          <w:szCs w:val="24"/>
        </w:rPr>
        <w:t>,</w:t>
      </w:r>
      <w:r>
        <w:rPr>
          <w:rFonts w:hint="eastAsia" w:ascii="宋体" w:hAnsi="宋体"/>
          <w:kern w:val="0"/>
          <w:sz w:val="24"/>
          <w:szCs w:val="24"/>
        </w:rPr>
        <w:t>占</w:t>
      </w:r>
      <w:r>
        <w:rPr>
          <w:rFonts w:ascii="宋体" w:hAnsi="宋体"/>
          <w:kern w:val="0"/>
          <w:sz w:val="24"/>
          <w:szCs w:val="24"/>
        </w:rPr>
        <w:t>0.07%</w:t>
      </w:r>
      <w:r>
        <w:rPr>
          <w:rFonts w:hint="eastAsia" w:ascii="宋体" w:hAnsi="宋体"/>
          <w:kern w:val="0"/>
          <w:sz w:val="24"/>
          <w:szCs w:val="24"/>
        </w:rPr>
        <w:t>；上缴上级支出</w:t>
      </w:r>
      <w:r>
        <w:rPr>
          <w:rFonts w:ascii="宋体"/>
          <w:kern w:val="0"/>
          <w:sz w:val="24"/>
          <w:szCs w:val="24"/>
        </w:rPr>
        <w:t>0</w:t>
      </w:r>
      <w:r>
        <w:rPr>
          <w:rFonts w:hint="eastAsia" w:ascii="宋体" w:hAnsi="宋体"/>
          <w:kern w:val="0"/>
          <w:sz w:val="24"/>
          <w:szCs w:val="24"/>
        </w:rPr>
        <w:t>万元，占</w:t>
      </w:r>
      <w:r>
        <w:rPr>
          <w:rFonts w:ascii="宋体" w:hAnsi="宋体"/>
          <w:kern w:val="0"/>
          <w:sz w:val="24"/>
          <w:szCs w:val="24"/>
        </w:rPr>
        <w:t>0%</w:t>
      </w:r>
      <w:r>
        <w:rPr>
          <w:rFonts w:hint="eastAsia" w:ascii="宋体" w:hAnsi="宋体"/>
          <w:kern w:val="0"/>
          <w:sz w:val="24"/>
          <w:szCs w:val="24"/>
        </w:rPr>
        <w:t>；经营支出</w:t>
      </w:r>
      <w:r>
        <w:rPr>
          <w:rFonts w:ascii="宋体"/>
          <w:kern w:val="0"/>
          <w:sz w:val="24"/>
          <w:szCs w:val="24"/>
        </w:rPr>
        <w:t>0</w:t>
      </w:r>
      <w:r>
        <w:rPr>
          <w:rFonts w:hint="eastAsia" w:ascii="宋体" w:hAnsi="宋体"/>
          <w:kern w:val="0"/>
          <w:sz w:val="24"/>
          <w:szCs w:val="24"/>
        </w:rPr>
        <w:t>万元，占</w:t>
      </w:r>
      <w:r>
        <w:rPr>
          <w:rFonts w:ascii="宋体" w:hAnsi="宋体"/>
          <w:kern w:val="0"/>
          <w:sz w:val="24"/>
          <w:szCs w:val="24"/>
        </w:rPr>
        <w:t>0%</w:t>
      </w:r>
      <w:r>
        <w:rPr>
          <w:rFonts w:hint="eastAsia" w:ascii="宋体" w:hAnsi="宋体"/>
          <w:kern w:val="0"/>
          <w:sz w:val="24"/>
          <w:szCs w:val="24"/>
        </w:rPr>
        <w:t>；对附属单位补助支出</w:t>
      </w:r>
      <w:r>
        <w:rPr>
          <w:rFonts w:ascii="宋体"/>
          <w:kern w:val="0"/>
          <w:sz w:val="24"/>
          <w:szCs w:val="24"/>
        </w:rPr>
        <w:t>0</w:t>
      </w:r>
      <w:r>
        <w:rPr>
          <w:rFonts w:hint="eastAsia" w:ascii="宋体" w:hAnsi="宋体"/>
          <w:kern w:val="0"/>
          <w:sz w:val="24"/>
          <w:szCs w:val="24"/>
        </w:rPr>
        <w:t>万元，占</w:t>
      </w:r>
      <w:r>
        <w:rPr>
          <w:rFonts w:ascii="宋体" w:hAnsi="宋体"/>
          <w:kern w:val="0"/>
          <w:sz w:val="24"/>
          <w:szCs w:val="24"/>
        </w:rPr>
        <w:t>0%</w:t>
      </w:r>
      <w:r>
        <w:rPr>
          <w:rFonts w:hint="eastAsia" w:ascii="宋体" w:hAnsi="宋体"/>
          <w:kern w:val="0"/>
          <w:sz w:val="24"/>
          <w:szCs w:val="24"/>
        </w:rPr>
        <w:t>。</w:t>
      </w:r>
    </w:p>
    <w:p>
      <w:pPr>
        <w:shd w:val="clear" w:color="auto" w:fill="FFFFFF"/>
        <w:spacing w:before="100" w:line="520" w:lineRule="exact"/>
        <w:ind w:firstLine="480"/>
        <w:rPr>
          <w:rFonts w:eastAsia="Times New Roman" w:cs="Times New Roman"/>
          <w:kern w:val="0"/>
          <w:sz w:val="24"/>
          <w:szCs w:val="24"/>
        </w:rPr>
      </w:pPr>
      <w:r>
        <w:rPr>
          <w:rFonts w:hint="eastAsia" w:ascii="宋体" w:hAnsi="宋体"/>
          <w:kern w:val="0"/>
          <w:sz w:val="24"/>
          <w:szCs w:val="24"/>
        </w:rPr>
        <w:t>与年初预算数相比情况：本年支出年初预算数</w:t>
      </w:r>
      <w:r>
        <w:rPr>
          <w:rFonts w:ascii="宋体" w:hAnsi="宋体"/>
          <w:kern w:val="0"/>
          <w:sz w:val="24"/>
          <w:szCs w:val="24"/>
        </w:rPr>
        <w:t>677.16</w:t>
      </w:r>
      <w:r>
        <w:rPr>
          <w:rFonts w:hint="eastAsia" w:ascii="宋体" w:hAnsi="宋体"/>
          <w:kern w:val="0"/>
          <w:sz w:val="24"/>
          <w:szCs w:val="24"/>
        </w:rPr>
        <w:t>万元，决算数</w:t>
      </w:r>
      <w:r>
        <w:rPr>
          <w:rFonts w:ascii="宋体" w:hAnsi="宋体"/>
          <w:kern w:val="0"/>
          <w:sz w:val="24"/>
          <w:szCs w:val="24"/>
        </w:rPr>
        <w:t>839.37</w:t>
      </w:r>
      <w:r>
        <w:rPr>
          <w:rFonts w:hint="eastAsia" w:ascii="宋体" w:hAnsi="宋体"/>
          <w:kern w:val="0"/>
          <w:sz w:val="24"/>
          <w:szCs w:val="24"/>
        </w:rPr>
        <w:t>万元，预决算差异率</w:t>
      </w:r>
      <w:r>
        <w:rPr>
          <w:rFonts w:ascii="宋体" w:hAnsi="宋体"/>
          <w:kern w:val="0"/>
          <w:sz w:val="24"/>
          <w:szCs w:val="24"/>
        </w:rPr>
        <w:t>23.95%</w:t>
      </w:r>
      <w:r>
        <w:rPr>
          <w:rFonts w:hint="eastAsia" w:ascii="宋体" w:hAnsi="宋体"/>
          <w:kern w:val="0"/>
          <w:sz w:val="24"/>
          <w:szCs w:val="24"/>
        </w:rPr>
        <w:t>。差异主要原因政策性调资增资导致人员工资调整增加，</w:t>
      </w:r>
      <w:r>
        <w:rPr>
          <w:rFonts w:ascii="宋体" w:hAnsi="宋体"/>
          <w:kern w:val="0"/>
          <w:sz w:val="24"/>
          <w:szCs w:val="24"/>
        </w:rPr>
        <w:t>2018</w:t>
      </w:r>
      <w:r>
        <w:rPr>
          <w:rFonts w:hint="eastAsia" w:ascii="宋体" w:hAnsi="宋体"/>
          <w:kern w:val="0"/>
          <w:sz w:val="24"/>
          <w:szCs w:val="24"/>
        </w:rPr>
        <w:t>年支出数增加。</w:t>
      </w:r>
    </w:p>
    <w:p>
      <w:pPr>
        <w:shd w:val="clear" w:color="auto" w:fill="FFFFFF"/>
        <w:spacing w:before="100" w:after="240"/>
        <w:jc w:val="left"/>
        <w:rPr>
          <w:rFonts w:ascii="宋体"/>
          <w:kern w:val="0"/>
          <w:sz w:val="24"/>
          <w:szCs w:val="24"/>
        </w:rPr>
      </w:pPr>
    </w:p>
    <w:p>
      <w:pPr>
        <w:shd w:val="clear" w:color="auto" w:fill="FFFFFF"/>
        <w:spacing w:before="100" w:after="240"/>
        <w:jc w:val="left"/>
        <w:rPr>
          <w:rFonts w:eastAsia="Times New Roman" w:cs="Times New Roman"/>
          <w:b/>
          <w:bCs/>
          <w:kern w:val="0"/>
          <w:sz w:val="24"/>
          <w:szCs w:val="24"/>
        </w:rPr>
      </w:pPr>
      <w:r>
        <w:rPr>
          <w:rFonts w:hint="eastAsia" w:ascii="宋体" w:hAnsi="宋体"/>
          <w:b/>
          <w:bCs/>
          <w:kern w:val="0"/>
          <w:sz w:val="24"/>
          <w:szCs w:val="24"/>
        </w:rPr>
        <w:t>二、部门财政拨款收支情况</w:t>
      </w:r>
    </w:p>
    <w:p>
      <w:pPr>
        <w:shd w:val="clear" w:color="auto" w:fill="FFFFFF"/>
        <w:spacing w:before="100" w:after="240"/>
        <w:jc w:val="left"/>
        <w:rPr>
          <w:rFonts w:eastAsia="Times New Roman" w:cs="Times New Roman"/>
          <w:b/>
          <w:bCs/>
          <w:kern w:val="0"/>
          <w:sz w:val="24"/>
          <w:szCs w:val="24"/>
        </w:rPr>
      </w:pPr>
      <w:r>
        <w:rPr>
          <w:rFonts w:hint="eastAsia" w:ascii="宋体" w:hAnsi="宋体"/>
          <w:b/>
          <w:bCs/>
          <w:kern w:val="0"/>
          <w:sz w:val="24"/>
          <w:szCs w:val="24"/>
        </w:rPr>
        <w:t>（一）财政拨款收支总体情况说明</w:t>
      </w:r>
    </w:p>
    <w:p>
      <w:pPr>
        <w:spacing w:line="520" w:lineRule="exact"/>
        <w:ind w:firstLine="480"/>
        <w:rPr>
          <w:rFonts w:eastAsia="Times New Roman" w:cs="Times New Roman"/>
          <w:kern w:val="0"/>
          <w:sz w:val="24"/>
          <w:szCs w:val="24"/>
        </w:rPr>
      </w:pPr>
      <w:r>
        <w:rPr>
          <w:rFonts w:ascii="宋体" w:hAnsi="宋体"/>
          <w:kern w:val="0"/>
          <w:sz w:val="24"/>
          <w:szCs w:val="24"/>
        </w:rPr>
        <w:t>2018</w:t>
      </w:r>
      <w:r>
        <w:rPr>
          <w:rFonts w:hint="eastAsia" w:ascii="宋体" w:hAnsi="宋体"/>
          <w:kern w:val="0"/>
          <w:sz w:val="24"/>
          <w:szCs w:val="24"/>
        </w:rPr>
        <w:t>年度财政拨款收入</w:t>
      </w:r>
      <w:r>
        <w:rPr>
          <w:rFonts w:ascii="宋体" w:hAnsi="宋体"/>
          <w:kern w:val="0"/>
          <w:sz w:val="24"/>
          <w:szCs w:val="24"/>
        </w:rPr>
        <w:t>839.2</w:t>
      </w:r>
      <w:r>
        <w:rPr>
          <w:rFonts w:hint="eastAsia" w:ascii="宋体" w:hAnsi="宋体"/>
          <w:kern w:val="0"/>
          <w:sz w:val="24"/>
          <w:szCs w:val="24"/>
        </w:rPr>
        <w:t>万元，与上年相比，</w:t>
      </w:r>
      <w:r>
        <w:rPr>
          <w:rFonts w:hint="eastAsia" w:ascii="宋体" w:hAnsi="宋体"/>
          <w:color w:val="000000"/>
          <w:kern w:val="0"/>
          <w:sz w:val="24"/>
          <w:szCs w:val="24"/>
        </w:rPr>
        <w:t>增加</w:t>
      </w:r>
      <w:r>
        <w:rPr>
          <w:rFonts w:ascii="宋体" w:hAnsi="宋体"/>
          <w:kern w:val="0"/>
          <w:sz w:val="24"/>
          <w:szCs w:val="24"/>
        </w:rPr>
        <w:t>30.4</w:t>
      </w:r>
      <w:r>
        <w:rPr>
          <w:rFonts w:hint="eastAsia" w:ascii="宋体" w:hAnsi="宋体"/>
          <w:kern w:val="0"/>
          <w:sz w:val="24"/>
          <w:szCs w:val="24"/>
        </w:rPr>
        <w:t>万元，</w:t>
      </w:r>
      <w:r>
        <w:rPr>
          <w:rFonts w:hint="eastAsia" w:ascii="宋体" w:hAnsi="宋体"/>
          <w:color w:val="000000"/>
          <w:kern w:val="0"/>
          <w:sz w:val="24"/>
          <w:szCs w:val="24"/>
        </w:rPr>
        <w:t>增长</w:t>
      </w:r>
      <w:r>
        <w:rPr>
          <w:rFonts w:ascii="宋体" w:hAnsi="宋体"/>
          <w:kern w:val="0"/>
          <w:sz w:val="24"/>
          <w:szCs w:val="24"/>
        </w:rPr>
        <w:t>3.76%</w:t>
      </w:r>
      <w:r>
        <w:rPr>
          <w:rFonts w:hint="eastAsia" w:ascii="宋体" w:hAnsi="宋体"/>
          <w:kern w:val="0"/>
          <w:sz w:val="24"/>
          <w:szCs w:val="24"/>
        </w:rPr>
        <w:t>，增减变化主要原因是政策性调资增资导致</w:t>
      </w:r>
      <w:r>
        <w:rPr>
          <w:rFonts w:ascii="宋体" w:hAnsi="宋体"/>
          <w:kern w:val="0"/>
          <w:sz w:val="24"/>
          <w:szCs w:val="24"/>
        </w:rPr>
        <w:t>2018</w:t>
      </w:r>
      <w:r>
        <w:rPr>
          <w:rFonts w:hint="eastAsia" w:ascii="宋体" w:hAnsi="宋体"/>
          <w:kern w:val="0"/>
          <w:sz w:val="24"/>
          <w:szCs w:val="24"/>
        </w:rPr>
        <w:t>年人员工资调整，本年拨款增加。财政拨款支出</w:t>
      </w:r>
      <w:r>
        <w:rPr>
          <w:rFonts w:ascii="宋体" w:hAnsi="宋体"/>
          <w:kern w:val="0"/>
          <w:sz w:val="24"/>
          <w:szCs w:val="24"/>
        </w:rPr>
        <w:t>839.2</w:t>
      </w:r>
      <w:r>
        <w:rPr>
          <w:rFonts w:hint="eastAsia" w:ascii="宋体" w:hAnsi="宋体"/>
          <w:kern w:val="0"/>
          <w:sz w:val="24"/>
          <w:szCs w:val="24"/>
        </w:rPr>
        <w:t>万元，与上年相比，</w:t>
      </w:r>
      <w:r>
        <w:rPr>
          <w:rFonts w:hint="eastAsia" w:ascii="宋体" w:hAnsi="宋体"/>
          <w:color w:val="000000"/>
          <w:kern w:val="0"/>
          <w:sz w:val="24"/>
          <w:szCs w:val="24"/>
        </w:rPr>
        <w:t>增加</w:t>
      </w:r>
      <w:r>
        <w:rPr>
          <w:rFonts w:ascii="宋体" w:hAnsi="宋体"/>
          <w:kern w:val="0"/>
          <w:sz w:val="24"/>
          <w:szCs w:val="24"/>
        </w:rPr>
        <w:t>30.4</w:t>
      </w:r>
      <w:r>
        <w:rPr>
          <w:rFonts w:hint="eastAsia" w:ascii="宋体" w:hAnsi="宋体"/>
          <w:kern w:val="0"/>
          <w:sz w:val="24"/>
          <w:szCs w:val="24"/>
        </w:rPr>
        <w:t>万元，</w:t>
      </w:r>
      <w:r>
        <w:rPr>
          <w:rFonts w:hint="eastAsia" w:ascii="宋体" w:hAnsi="宋体"/>
          <w:color w:val="000000"/>
          <w:kern w:val="0"/>
          <w:sz w:val="24"/>
          <w:szCs w:val="24"/>
        </w:rPr>
        <w:t>增长</w:t>
      </w:r>
      <w:r>
        <w:rPr>
          <w:rFonts w:ascii="宋体" w:hAnsi="宋体"/>
          <w:kern w:val="0"/>
          <w:sz w:val="24"/>
          <w:szCs w:val="24"/>
        </w:rPr>
        <w:t>3.76%</w:t>
      </w:r>
      <w:r>
        <w:rPr>
          <w:rFonts w:hint="eastAsia" w:ascii="宋体" w:hAnsi="宋体"/>
          <w:kern w:val="0"/>
          <w:sz w:val="24"/>
          <w:szCs w:val="24"/>
        </w:rPr>
        <w:t>。增减变化主要原因是政策性调资增资导致人员工资调整增加，</w:t>
      </w:r>
      <w:r>
        <w:rPr>
          <w:rFonts w:ascii="宋体" w:hAnsi="宋体"/>
          <w:kern w:val="0"/>
          <w:sz w:val="24"/>
          <w:szCs w:val="24"/>
        </w:rPr>
        <w:t>2018</w:t>
      </w:r>
      <w:r>
        <w:rPr>
          <w:rFonts w:hint="eastAsia" w:ascii="宋体" w:hAnsi="宋体"/>
          <w:kern w:val="0"/>
          <w:sz w:val="24"/>
          <w:szCs w:val="24"/>
        </w:rPr>
        <w:t>年支出数增加。其中：基本支出</w:t>
      </w:r>
      <w:r>
        <w:rPr>
          <w:rFonts w:ascii="宋体" w:hAnsi="宋体"/>
          <w:kern w:val="0"/>
          <w:sz w:val="24"/>
          <w:szCs w:val="24"/>
        </w:rPr>
        <w:t>838.6</w:t>
      </w:r>
      <w:r>
        <w:rPr>
          <w:rFonts w:hint="eastAsia" w:ascii="宋体" w:hAnsi="宋体"/>
          <w:kern w:val="0"/>
          <w:sz w:val="24"/>
          <w:szCs w:val="24"/>
        </w:rPr>
        <w:t>万元，项目支出</w:t>
      </w:r>
      <w:r>
        <w:rPr>
          <w:rFonts w:ascii="宋体" w:hAnsi="宋体"/>
          <w:kern w:val="0"/>
          <w:sz w:val="24"/>
          <w:szCs w:val="24"/>
        </w:rPr>
        <w:t>0.6</w:t>
      </w:r>
      <w:r>
        <w:rPr>
          <w:rFonts w:hint="eastAsia" w:ascii="宋体" w:hAnsi="宋体"/>
          <w:kern w:val="0"/>
          <w:sz w:val="24"/>
          <w:szCs w:val="24"/>
        </w:rPr>
        <w:t>万元。财政拨款结转结余</w:t>
      </w:r>
      <w:r>
        <w:rPr>
          <w:rFonts w:ascii="宋体"/>
          <w:kern w:val="0"/>
          <w:sz w:val="24"/>
          <w:szCs w:val="24"/>
        </w:rPr>
        <w:t>0</w:t>
      </w:r>
      <w:r>
        <w:rPr>
          <w:rFonts w:hint="eastAsia" w:ascii="宋体" w:hAnsi="宋体"/>
          <w:kern w:val="0"/>
          <w:sz w:val="24"/>
          <w:szCs w:val="24"/>
        </w:rPr>
        <w:t>万元，与上年相比，</w:t>
      </w:r>
      <w:r>
        <w:rPr>
          <w:rFonts w:hint="eastAsia" w:ascii="宋体" w:hAnsi="宋体"/>
          <w:color w:val="000000"/>
          <w:kern w:val="0"/>
          <w:sz w:val="24"/>
          <w:szCs w:val="24"/>
        </w:rPr>
        <w:t>增加</w:t>
      </w:r>
      <w:r>
        <w:rPr>
          <w:rFonts w:ascii="宋体"/>
          <w:kern w:val="0"/>
          <w:sz w:val="24"/>
          <w:szCs w:val="24"/>
        </w:rPr>
        <w:t>0</w:t>
      </w:r>
      <w:r>
        <w:rPr>
          <w:rFonts w:hint="eastAsia" w:ascii="宋体" w:hAnsi="宋体"/>
          <w:kern w:val="0"/>
          <w:sz w:val="24"/>
          <w:szCs w:val="24"/>
        </w:rPr>
        <w:t>万元，</w:t>
      </w:r>
      <w:r>
        <w:rPr>
          <w:rFonts w:hint="eastAsia" w:ascii="宋体" w:hAnsi="宋体"/>
          <w:color w:val="000000"/>
          <w:kern w:val="0"/>
          <w:sz w:val="24"/>
          <w:szCs w:val="24"/>
        </w:rPr>
        <w:t>增长</w:t>
      </w:r>
      <w:r>
        <w:rPr>
          <w:rFonts w:ascii="宋体" w:hAnsi="宋体"/>
          <w:kern w:val="0"/>
          <w:sz w:val="24"/>
          <w:szCs w:val="24"/>
        </w:rPr>
        <w:t>0%</w:t>
      </w:r>
      <w:r>
        <w:rPr>
          <w:rFonts w:hint="eastAsia" w:ascii="宋体" w:hAnsi="宋体"/>
          <w:kern w:val="0"/>
          <w:sz w:val="24"/>
          <w:szCs w:val="24"/>
        </w:rPr>
        <w:t>，增减变化主要原因是：本年无变化。</w:t>
      </w:r>
    </w:p>
    <w:p>
      <w:pPr>
        <w:shd w:val="clear" w:color="auto" w:fill="FFFFFF"/>
        <w:spacing w:before="100" w:line="520" w:lineRule="exact"/>
        <w:ind w:firstLine="480"/>
        <w:jc w:val="left"/>
        <w:rPr>
          <w:rFonts w:eastAsia="Times New Roman" w:cs="Times New Roman"/>
          <w:kern w:val="0"/>
          <w:sz w:val="24"/>
          <w:szCs w:val="24"/>
        </w:rPr>
      </w:pPr>
      <w:r>
        <w:rPr>
          <w:rFonts w:hint="eastAsia" w:ascii="宋体" w:hAnsi="宋体"/>
          <w:kern w:val="0"/>
          <w:sz w:val="24"/>
          <w:szCs w:val="24"/>
        </w:rPr>
        <w:t>与年初预算数相比情况</w:t>
      </w:r>
      <w:r>
        <w:rPr>
          <w:rFonts w:ascii="宋体" w:hAnsi="宋体"/>
          <w:kern w:val="0"/>
          <w:sz w:val="24"/>
          <w:szCs w:val="24"/>
        </w:rPr>
        <w:t>:</w:t>
      </w:r>
      <w:r>
        <w:rPr>
          <w:rFonts w:hint="eastAsia" w:ascii="宋体" w:hAnsi="宋体"/>
          <w:kern w:val="0"/>
          <w:sz w:val="24"/>
          <w:szCs w:val="24"/>
          <w:lang w:val="zh-CN"/>
        </w:rPr>
        <w:t>财政拨款收入年初预算数</w:t>
      </w:r>
      <w:r>
        <w:rPr>
          <w:rFonts w:ascii="宋体" w:hAnsi="宋体"/>
          <w:kern w:val="0"/>
          <w:sz w:val="24"/>
          <w:szCs w:val="24"/>
        </w:rPr>
        <w:t>677.16</w:t>
      </w:r>
      <w:r>
        <w:rPr>
          <w:rFonts w:hint="eastAsia" w:ascii="宋体" w:hAnsi="宋体"/>
          <w:kern w:val="0"/>
          <w:sz w:val="24"/>
          <w:szCs w:val="24"/>
          <w:lang w:val="zh-CN"/>
        </w:rPr>
        <w:t>万元</w:t>
      </w:r>
      <w:r>
        <w:rPr>
          <w:rFonts w:eastAsia="Times New Roman" w:cs="Times New Roman"/>
          <w:kern w:val="0"/>
          <w:sz w:val="24"/>
          <w:szCs w:val="24"/>
        </w:rPr>
        <w:t>,</w:t>
      </w:r>
      <w:r>
        <w:rPr>
          <w:rFonts w:hint="eastAsia" w:ascii="宋体" w:hAnsi="宋体"/>
          <w:kern w:val="0"/>
          <w:sz w:val="24"/>
          <w:szCs w:val="24"/>
        </w:rPr>
        <w:t>决算数</w:t>
      </w:r>
      <w:r>
        <w:rPr>
          <w:rFonts w:eastAsia="Times New Roman" w:cs="Times New Roman"/>
          <w:kern w:val="0"/>
          <w:sz w:val="24"/>
          <w:szCs w:val="24"/>
        </w:rPr>
        <w:t>839.2</w:t>
      </w:r>
      <w:r>
        <w:rPr>
          <w:rFonts w:hint="eastAsia" w:ascii="宋体" w:hAnsi="宋体"/>
          <w:kern w:val="0"/>
          <w:sz w:val="24"/>
          <w:szCs w:val="24"/>
        </w:rPr>
        <w:t>万元，预决算差异率</w:t>
      </w:r>
      <w:r>
        <w:rPr>
          <w:rFonts w:ascii="宋体" w:hAnsi="宋体"/>
          <w:kern w:val="0"/>
          <w:sz w:val="24"/>
          <w:szCs w:val="24"/>
        </w:rPr>
        <w:t>23.93%</w:t>
      </w:r>
      <w:r>
        <w:rPr>
          <w:rFonts w:hint="eastAsia" w:ascii="宋体" w:hAnsi="宋体"/>
          <w:kern w:val="0"/>
          <w:sz w:val="24"/>
          <w:szCs w:val="24"/>
        </w:rPr>
        <w:t>；差异主要原因增减变化主要原因是政策性调资增资导致</w:t>
      </w:r>
      <w:r>
        <w:rPr>
          <w:rFonts w:ascii="宋体" w:hAnsi="宋体"/>
          <w:kern w:val="0"/>
          <w:sz w:val="24"/>
          <w:szCs w:val="24"/>
        </w:rPr>
        <w:t>2018</w:t>
      </w:r>
      <w:r>
        <w:rPr>
          <w:rFonts w:hint="eastAsia" w:ascii="宋体" w:hAnsi="宋体"/>
          <w:kern w:val="0"/>
          <w:sz w:val="24"/>
          <w:szCs w:val="24"/>
        </w:rPr>
        <w:t>年人员工资调整增加，本年拨款增加。</w:t>
      </w:r>
      <w:r>
        <w:rPr>
          <w:rFonts w:hint="eastAsia" w:ascii="宋体" w:hAnsi="宋体"/>
          <w:kern w:val="0"/>
          <w:sz w:val="24"/>
          <w:szCs w:val="24"/>
          <w:lang w:val="zh-CN"/>
        </w:rPr>
        <w:t>财政拨款支出年初预算数</w:t>
      </w:r>
      <w:r>
        <w:rPr>
          <w:rFonts w:ascii="宋体" w:hAnsi="宋体"/>
          <w:kern w:val="0"/>
          <w:sz w:val="24"/>
          <w:szCs w:val="24"/>
        </w:rPr>
        <w:t>677.16</w:t>
      </w:r>
      <w:r>
        <w:rPr>
          <w:rFonts w:hint="eastAsia" w:ascii="宋体" w:hAnsi="宋体"/>
          <w:kern w:val="0"/>
          <w:sz w:val="24"/>
          <w:szCs w:val="24"/>
          <w:lang w:val="zh-CN"/>
        </w:rPr>
        <w:t>万元</w:t>
      </w:r>
      <w:r>
        <w:rPr>
          <w:rFonts w:hint="eastAsia" w:ascii="宋体" w:hAnsi="宋体"/>
          <w:kern w:val="0"/>
          <w:sz w:val="24"/>
          <w:szCs w:val="24"/>
        </w:rPr>
        <w:t>，决算数</w:t>
      </w:r>
      <w:r>
        <w:rPr>
          <w:rFonts w:ascii="宋体" w:hAnsi="宋体"/>
          <w:kern w:val="0"/>
          <w:sz w:val="24"/>
          <w:szCs w:val="24"/>
        </w:rPr>
        <w:t>839.2</w:t>
      </w:r>
      <w:r>
        <w:rPr>
          <w:rFonts w:hint="eastAsia" w:ascii="宋体" w:hAnsi="宋体"/>
          <w:kern w:val="0"/>
          <w:sz w:val="24"/>
          <w:szCs w:val="24"/>
        </w:rPr>
        <w:t>万元。预决算差异率</w:t>
      </w:r>
      <w:r>
        <w:rPr>
          <w:rFonts w:ascii="宋体" w:hAnsi="宋体"/>
          <w:kern w:val="0"/>
          <w:sz w:val="24"/>
          <w:szCs w:val="24"/>
        </w:rPr>
        <w:t>23.93%</w:t>
      </w:r>
      <w:r>
        <w:rPr>
          <w:rFonts w:hint="eastAsia" w:ascii="宋体" w:hAnsi="宋体"/>
          <w:kern w:val="0"/>
          <w:sz w:val="24"/>
          <w:szCs w:val="24"/>
          <w:lang w:val="zh-CN"/>
        </w:rPr>
        <w:t>。</w:t>
      </w:r>
      <w:r>
        <w:rPr>
          <w:rFonts w:hint="eastAsia" w:ascii="宋体" w:hAnsi="宋体"/>
          <w:kern w:val="0"/>
          <w:sz w:val="24"/>
          <w:szCs w:val="24"/>
        </w:rPr>
        <w:t>差异主要原因是政策性调资增资导致人员工资调整增加，增加其他财政事务支出，同时支出增大</w:t>
      </w:r>
      <w:r>
        <w:rPr>
          <w:rFonts w:hint="eastAsia" w:ascii="宋体" w:hAnsi="宋体"/>
          <w:kern w:val="0"/>
          <w:sz w:val="24"/>
          <w:szCs w:val="24"/>
          <w:lang w:val="zh-CN"/>
        </w:rPr>
        <w:t>。</w:t>
      </w:r>
    </w:p>
    <w:p>
      <w:pPr>
        <w:shd w:val="clear" w:color="auto" w:fill="FFFFFF"/>
        <w:spacing w:before="100" w:after="240" w:line="520" w:lineRule="exact"/>
        <w:ind w:firstLine="480"/>
        <w:rPr>
          <w:rFonts w:eastAsia="Times New Roman" w:cs="Times New Roman"/>
          <w:kern w:val="0"/>
          <w:sz w:val="24"/>
          <w:szCs w:val="24"/>
        </w:rPr>
      </w:pPr>
    </w:p>
    <w:p>
      <w:pPr>
        <w:shd w:val="clear" w:color="auto" w:fill="FFFFFF"/>
        <w:spacing w:before="100" w:after="240"/>
        <w:jc w:val="left"/>
        <w:rPr>
          <w:rFonts w:eastAsia="Times New Roman" w:cs="Times New Roman"/>
          <w:b/>
          <w:bCs/>
          <w:kern w:val="0"/>
          <w:sz w:val="24"/>
          <w:szCs w:val="24"/>
        </w:rPr>
      </w:pPr>
      <w:r>
        <w:rPr>
          <w:rFonts w:hint="eastAsia" w:ascii="宋体" w:hAnsi="宋体"/>
          <w:b/>
          <w:bCs/>
          <w:kern w:val="0"/>
          <w:sz w:val="24"/>
          <w:szCs w:val="24"/>
        </w:rPr>
        <w:t>（二）一般公共预算收支决算情况说明</w:t>
      </w:r>
    </w:p>
    <w:p>
      <w:pPr>
        <w:shd w:val="clear" w:color="auto" w:fill="FFFFFF"/>
        <w:spacing w:before="100" w:line="520" w:lineRule="exact"/>
        <w:ind w:firstLine="480"/>
        <w:jc w:val="left"/>
        <w:rPr>
          <w:rFonts w:eastAsia="Times New Roman" w:cs="Times New Roman"/>
          <w:sz w:val="24"/>
          <w:szCs w:val="24"/>
        </w:rPr>
      </w:pPr>
      <w:r>
        <w:rPr>
          <w:rFonts w:ascii="宋体" w:hAnsi="宋体"/>
          <w:kern w:val="0"/>
          <w:sz w:val="24"/>
          <w:szCs w:val="24"/>
        </w:rPr>
        <w:t>2018</w:t>
      </w:r>
      <w:r>
        <w:rPr>
          <w:rFonts w:hint="eastAsia" w:ascii="宋体" w:hAnsi="宋体"/>
          <w:kern w:val="0"/>
          <w:sz w:val="24"/>
          <w:szCs w:val="24"/>
        </w:rPr>
        <w:t>年度一般公共预算财政拨款收入</w:t>
      </w:r>
      <w:r>
        <w:rPr>
          <w:rFonts w:ascii="宋体" w:hAnsi="宋体"/>
          <w:kern w:val="0"/>
          <w:sz w:val="24"/>
          <w:szCs w:val="24"/>
        </w:rPr>
        <w:t>839.2</w:t>
      </w:r>
      <w:r>
        <w:rPr>
          <w:rFonts w:hint="eastAsia" w:ascii="宋体" w:hAnsi="宋体"/>
          <w:kern w:val="0"/>
          <w:sz w:val="24"/>
          <w:szCs w:val="24"/>
        </w:rPr>
        <w:t>万元，与上年相比，</w:t>
      </w:r>
      <w:r>
        <w:rPr>
          <w:rFonts w:hint="eastAsia" w:ascii="宋体" w:hAnsi="宋体"/>
          <w:color w:val="000000"/>
          <w:kern w:val="0"/>
          <w:sz w:val="24"/>
          <w:szCs w:val="24"/>
        </w:rPr>
        <w:t>增加</w:t>
      </w:r>
      <w:r>
        <w:rPr>
          <w:rFonts w:ascii="宋体" w:hAnsi="宋体"/>
          <w:kern w:val="0"/>
          <w:sz w:val="24"/>
          <w:szCs w:val="24"/>
        </w:rPr>
        <w:t>30.4</w:t>
      </w:r>
      <w:r>
        <w:rPr>
          <w:rFonts w:hint="eastAsia" w:ascii="宋体" w:hAnsi="宋体"/>
          <w:kern w:val="0"/>
          <w:sz w:val="24"/>
          <w:szCs w:val="24"/>
        </w:rPr>
        <w:t>万元，</w:t>
      </w:r>
      <w:r>
        <w:rPr>
          <w:rFonts w:hint="eastAsia" w:ascii="宋体" w:hAnsi="宋体"/>
          <w:color w:val="000000"/>
          <w:kern w:val="0"/>
          <w:sz w:val="24"/>
          <w:szCs w:val="24"/>
        </w:rPr>
        <w:t>增长</w:t>
      </w:r>
      <w:r>
        <w:rPr>
          <w:rFonts w:ascii="宋体" w:hAnsi="宋体"/>
          <w:kern w:val="0"/>
          <w:sz w:val="24"/>
          <w:szCs w:val="24"/>
        </w:rPr>
        <w:t>3.76%</w:t>
      </w:r>
      <w:r>
        <w:rPr>
          <w:rFonts w:hint="eastAsia" w:ascii="宋体" w:hAnsi="宋体"/>
          <w:kern w:val="0"/>
          <w:sz w:val="24"/>
          <w:szCs w:val="24"/>
        </w:rPr>
        <w:t>。增减变化的主要原因是：政策性调资增资导致</w:t>
      </w:r>
      <w:r>
        <w:rPr>
          <w:rFonts w:ascii="宋体" w:hAnsi="宋体"/>
          <w:kern w:val="0"/>
          <w:sz w:val="24"/>
          <w:szCs w:val="24"/>
        </w:rPr>
        <w:t>2018</w:t>
      </w:r>
      <w:r>
        <w:rPr>
          <w:rFonts w:hint="eastAsia" w:ascii="宋体" w:hAnsi="宋体"/>
          <w:kern w:val="0"/>
          <w:sz w:val="24"/>
          <w:szCs w:val="24"/>
        </w:rPr>
        <w:t>年人员工资调整增加，本年拨款增加。一般公共预算财政拨款支出</w:t>
      </w:r>
      <w:r>
        <w:rPr>
          <w:rFonts w:ascii="宋体" w:hAnsi="宋体"/>
          <w:kern w:val="0"/>
          <w:sz w:val="24"/>
          <w:szCs w:val="24"/>
        </w:rPr>
        <w:t>839.2</w:t>
      </w:r>
      <w:r>
        <w:rPr>
          <w:rFonts w:hint="eastAsia" w:ascii="宋体" w:hAnsi="宋体"/>
          <w:kern w:val="0"/>
          <w:sz w:val="24"/>
          <w:szCs w:val="24"/>
        </w:rPr>
        <w:t>万元，与上年相比，</w:t>
      </w:r>
      <w:r>
        <w:rPr>
          <w:rFonts w:hint="eastAsia" w:ascii="宋体" w:hAnsi="宋体"/>
          <w:color w:val="000000"/>
          <w:kern w:val="0"/>
          <w:sz w:val="24"/>
          <w:szCs w:val="24"/>
        </w:rPr>
        <w:t>增加</w:t>
      </w:r>
      <w:r>
        <w:rPr>
          <w:rFonts w:ascii="宋体" w:hAnsi="宋体"/>
          <w:kern w:val="0"/>
          <w:sz w:val="24"/>
          <w:szCs w:val="24"/>
        </w:rPr>
        <w:t>30.4</w:t>
      </w:r>
      <w:r>
        <w:rPr>
          <w:rFonts w:hint="eastAsia" w:ascii="宋体" w:hAnsi="宋体"/>
          <w:kern w:val="0"/>
          <w:sz w:val="24"/>
          <w:szCs w:val="24"/>
        </w:rPr>
        <w:t>万元，</w:t>
      </w:r>
      <w:r>
        <w:rPr>
          <w:rFonts w:hint="eastAsia" w:ascii="宋体" w:hAnsi="宋体"/>
          <w:color w:val="000000"/>
          <w:kern w:val="0"/>
          <w:sz w:val="24"/>
          <w:szCs w:val="24"/>
        </w:rPr>
        <w:t>增长</w:t>
      </w:r>
      <w:r>
        <w:rPr>
          <w:rFonts w:ascii="宋体" w:hAnsi="宋体"/>
          <w:kern w:val="0"/>
          <w:sz w:val="24"/>
          <w:szCs w:val="24"/>
        </w:rPr>
        <w:t>3.76%</w:t>
      </w:r>
      <w:r>
        <w:rPr>
          <w:rFonts w:hint="eastAsia" w:ascii="宋体" w:hAnsi="宋体"/>
          <w:kern w:val="0"/>
          <w:sz w:val="24"/>
          <w:szCs w:val="24"/>
        </w:rPr>
        <w:t>。增减变化主要原因是政策性调资增资导致人员工资调整增加，增加其他财政事务支出，同时支出增大</w:t>
      </w:r>
      <w:r>
        <w:rPr>
          <w:rFonts w:hint="eastAsia" w:ascii="宋体" w:hAnsi="宋体"/>
          <w:kern w:val="0"/>
          <w:sz w:val="24"/>
          <w:szCs w:val="24"/>
          <w:lang w:val="zh-CN"/>
        </w:rPr>
        <w:t>。</w:t>
      </w:r>
      <w:r>
        <w:rPr>
          <w:rFonts w:hint="eastAsia" w:ascii="宋体" w:hAnsi="宋体"/>
          <w:kern w:val="0"/>
          <w:sz w:val="24"/>
          <w:szCs w:val="24"/>
        </w:rPr>
        <w:t>其中：按功能分类科目</w:t>
      </w:r>
      <w:r>
        <w:rPr>
          <w:rFonts w:ascii="宋体" w:hAnsi="宋体"/>
          <w:kern w:val="0"/>
          <w:sz w:val="24"/>
          <w:szCs w:val="24"/>
        </w:rPr>
        <w:t>(</w:t>
      </w:r>
      <w:r>
        <w:rPr>
          <w:rFonts w:hint="eastAsia" w:ascii="宋体" w:hAnsi="宋体"/>
          <w:kern w:val="0"/>
          <w:sz w:val="24"/>
          <w:szCs w:val="24"/>
        </w:rPr>
        <w:t>按类级科目公开</w:t>
      </w:r>
      <w:r>
        <w:rPr>
          <w:rFonts w:ascii="宋体" w:hAnsi="宋体"/>
          <w:kern w:val="0"/>
          <w:sz w:val="24"/>
          <w:szCs w:val="24"/>
        </w:rPr>
        <w:t>)</w:t>
      </w:r>
      <w:r>
        <w:rPr>
          <w:rFonts w:hint="eastAsia" w:ascii="宋体" w:hAnsi="宋体"/>
          <w:kern w:val="0"/>
          <w:sz w:val="24"/>
          <w:szCs w:val="24"/>
        </w:rPr>
        <w:t>，</w:t>
      </w:r>
      <w:r>
        <w:rPr>
          <w:rFonts w:ascii="宋体" w:hAnsi="宋体"/>
          <w:kern w:val="0"/>
          <w:sz w:val="24"/>
          <w:szCs w:val="24"/>
        </w:rPr>
        <w:t>201</w:t>
      </w:r>
      <w:r>
        <w:rPr>
          <w:rFonts w:hint="eastAsia" w:ascii="宋体" w:hAnsi="宋体"/>
          <w:kern w:val="0"/>
          <w:sz w:val="24"/>
          <w:szCs w:val="24"/>
        </w:rPr>
        <w:t>类</w:t>
      </w:r>
      <w:r>
        <w:rPr>
          <w:rFonts w:ascii="宋体" w:hAnsi="宋体"/>
          <w:kern w:val="0"/>
          <w:sz w:val="24"/>
          <w:szCs w:val="24"/>
        </w:rPr>
        <w:t xml:space="preserve"> </w:t>
      </w:r>
      <w:r>
        <w:rPr>
          <w:rFonts w:hint="eastAsia" w:ascii="宋体" w:hAnsi="宋体"/>
          <w:kern w:val="0"/>
          <w:sz w:val="24"/>
          <w:szCs w:val="24"/>
        </w:rPr>
        <w:t>一般公共服务支出</w:t>
      </w:r>
      <w:r>
        <w:rPr>
          <w:rFonts w:ascii="宋体" w:hAnsi="宋体"/>
          <w:kern w:val="0"/>
          <w:sz w:val="24"/>
          <w:szCs w:val="24"/>
        </w:rPr>
        <w:t>784.89</w:t>
      </w:r>
      <w:r>
        <w:rPr>
          <w:rFonts w:hint="eastAsia" w:ascii="宋体" w:hAnsi="宋体"/>
          <w:kern w:val="0"/>
          <w:sz w:val="24"/>
          <w:szCs w:val="24"/>
        </w:rPr>
        <w:t>万元，</w:t>
      </w:r>
      <w:r>
        <w:rPr>
          <w:rFonts w:ascii="宋体" w:hAnsi="宋体"/>
          <w:kern w:val="0"/>
          <w:sz w:val="24"/>
          <w:szCs w:val="24"/>
        </w:rPr>
        <w:t>208</w:t>
      </w:r>
      <w:r>
        <w:rPr>
          <w:rFonts w:hint="eastAsia" w:ascii="宋体" w:hAnsi="宋体"/>
          <w:kern w:val="0"/>
          <w:sz w:val="24"/>
          <w:szCs w:val="24"/>
        </w:rPr>
        <w:t>类</w:t>
      </w:r>
      <w:r>
        <w:rPr>
          <w:rFonts w:ascii="宋体" w:hAnsi="宋体"/>
          <w:kern w:val="0"/>
          <w:sz w:val="24"/>
          <w:szCs w:val="24"/>
        </w:rPr>
        <w:t xml:space="preserve"> </w:t>
      </w:r>
      <w:r>
        <w:rPr>
          <w:rFonts w:hint="eastAsia" w:ascii="宋体" w:hAnsi="宋体"/>
          <w:kern w:val="0"/>
          <w:sz w:val="24"/>
          <w:szCs w:val="24"/>
        </w:rPr>
        <w:t>社会保障和就业支出</w:t>
      </w:r>
      <w:r>
        <w:rPr>
          <w:rFonts w:ascii="宋体" w:hAnsi="宋体"/>
          <w:kern w:val="0"/>
          <w:sz w:val="24"/>
          <w:szCs w:val="24"/>
        </w:rPr>
        <w:t>54.30</w:t>
      </w:r>
      <w:r>
        <w:rPr>
          <w:rFonts w:hint="eastAsia" w:ascii="宋体" w:hAnsi="宋体"/>
          <w:kern w:val="0"/>
          <w:sz w:val="24"/>
          <w:szCs w:val="24"/>
        </w:rPr>
        <w:t>万元；</w:t>
      </w:r>
      <w:r>
        <w:rPr>
          <w:rFonts w:ascii="宋体" w:hAnsi="宋体"/>
          <w:kern w:val="0"/>
          <w:sz w:val="24"/>
          <w:szCs w:val="24"/>
        </w:rPr>
        <w:t xml:space="preserve"> </w:t>
      </w:r>
      <w:r>
        <w:rPr>
          <w:rFonts w:hint="eastAsia" w:ascii="宋体" w:hAnsi="宋体"/>
          <w:kern w:val="0"/>
          <w:sz w:val="24"/>
          <w:szCs w:val="24"/>
        </w:rPr>
        <w:t>按经济分类科目</w:t>
      </w:r>
      <w:r>
        <w:rPr>
          <w:rFonts w:ascii="宋体" w:hAnsi="宋体"/>
          <w:kern w:val="0"/>
          <w:sz w:val="24"/>
          <w:szCs w:val="24"/>
        </w:rPr>
        <w:t>(</w:t>
      </w:r>
      <w:r>
        <w:rPr>
          <w:rFonts w:hint="eastAsia" w:ascii="宋体" w:hAnsi="宋体"/>
          <w:kern w:val="0"/>
          <w:sz w:val="24"/>
          <w:szCs w:val="24"/>
        </w:rPr>
        <w:t>按类级科目公开</w:t>
      </w:r>
      <w:r>
        <w:rPr>
          <w:rFonts w:ascii="宋体" w:hAnsi="宋体"/>
          <w:kern w:val="0"/>
          <w:sz w:val="24"/>
          <w:szCs w:val="24"/>
        </w:rPr>
        <w:t>)</w:t>
      </w:r>
      <w:r>
        <w:rPr>
          <w:rFonts w:hint="eastAsia" w:ascii="宋体" w:hAnsi="宋体"/>
          <w:kern w:val="0"/>
          <w:sz w:val="24"/>
          <w:szCs w:val="24"/>
        </w:rPr>
        <w:t>，工资福利支出</w:t>
      </w:r>
      <w:r>
        <w:rPr>
          <w:rFonts w:ascii="宋体" w:hAnsi="宋体"/>
          <w:kern w:val="0"/>
          <w:sz w:val="24"/>
          <w:szCs w:val="24"/>
        </w:rPr>
        <w:t>618.01</w:t>
      </w:r>
      <w:r>
        <w:rPr>
          <w:rFonts w:hint="eastAsia" w:ascii="宋体" w:hAnsi="宋体"/>
          <w:kern w:val="0"/>
          <w:sz w:val="24"/>
          <w:szCs w:val="24"/>
        </w:rPr>
        <w:t>万元，商品和服务支出</w:t>
      </w:r>
      <w:r>
        <w:rPr>
          <w:rFonts w:ascii="宋体" w:hAnsi="宋体"/>
          <w:kern w:val="0"/>
          <w:sz w:val="24"/>
          <w:szCs w:val="24"/>
        </w:rPr>
        <w:t>201.71</w:t>
      </w:r>
      <w:r>
        <w:rPr>
          <w:rFonts w:hint="eastAsia" w:ascii="宋体" w:hAnsi="宋体"/>
          <w:kern w:val="0"/>
          <w:sz w:val="24"/>
          <w:szCs w:val="24"/>
        </w:rPr>
        <w:t>万元，对个人和家庭的补助</w:t>
      </w:r>
      <w:r>
        <w:rPr>
          <w:rFonts w:ascii="宋体" w:hAnsi="宋体"/>
          <w:kern w:val="0"/>
          <w:sz w:val="24"/>
          <w:szCs w:val="24"/>
        </w:rPr>
        <w:t>7.24</w:t>
      </w:r>
      <w:r>
        <w:rPr>
          <w:rFonts w:hint="eastAsia" w:ascii="宋体" w:hAnsi="宋体"/>
          <w:kern w:val="0"/>
          <w:sz w:val="24"/>
          <w:szCs w:val="24"/>
        </w:rPr>
        <w:t>万元，债务利息及费用支出</w:t>
      </w:r>
      <w:r>
        <w:rPr>
          <w:rFonts w:ascii="宋体"/>
          <w:kern w:val="0"/>
          <w:sz w:val="24"/>
          <w:szCs w:val="24"/>
        </w:rPr>
        <w:t>0</w:t>
      </w:r>
      <w:r>
        <w:rPr>
          <w:rFonts w:hint="eastAsia" w:ascii="宋体" w:hAnsi="宋体"/>
          <w:kern w:val="0"/>
          <w:sz w:val="24"/>
          <w:szCs w:val="24"/>
        </w:rPr>
        <w:t>万元，</w:t>
      </w:r>
      <w:r>
        <w:rPr>
          <w:rFonts w:eastAsia="Times New Roman" w:cs="Times New Roman"/>
          <w:kern w:val="0"/>
          <w:sz w:val="24"/>
          <w:szCs w:val="24"/>
        </w:rPr>
        <w:t>,</w:t>
      </w:r>
      <w:r>
        <w:rPr>
          <w:rFonts w:hint="eastAsia" w:ascii="宋体" w:hAnsi="宋体"/>
          <w:kern w:val="0"/>
          <w:sz w:val="24"/>
          <w:szCs w:val="24"/>
        </w:rPr>
        <w:t>资本性支出（基本建设）</w:t>
      </w:r>
      <w:r>
        <w:rPr>
          <w:rFonts w:ascii="宋体"/>
          <w:kern w:val="0"/>
          <w:sz w:val="24"/>
          <w:szCs w:val="24"/>
        </w:rPr>
        <w:t>0</w:t>
      </w:r>
      <w:r>
        <w:rPr>
          <w:rFonts w:hint="eastAsia" w:ascii="宋体" w:hAnsi="宋体"/>
          <w:kern w:val="0"/>
          <w:sz w:val="24"/>
          <w:szCs w:val="24"/>
        </w:rPr>
        <w:t>万元</w:t>
      </w:r>
      <w:r>
        <w:rPr>
          <w:rFonts w:eastAsia="Times New Roman" w:cs="Times New Roman"/>
          <w:kern w:val="0"/>
          <w:sz w:val="24"/>
          <w:szCs w:val="24"/>
        </w:rPr>
        <w:t>,</w:t>
      </w:r>
      <w:r>
        <w:rPr>
          <w:rFonts w:hint="eastAsia" w:ascii="宋体" w:hAnsi="宋体"/>
          <w:kern w:val="0"/>
          <w:sz w:val="24"/>
          <w:szCs w:val="24"/>
        </w:rPr>
        <w:t>资本性支出</w:t>
      </w:r>
      <w:r>
        <w:rPr>
          <w:rFonts w:ascii="宋体" w:hAnsi="宋体"/>
          <w:kern w:val="0"/>
          <w:sz w:val="24"/>
          <w:szCs w:val="24"/>
        </w:rPr>
        <w:t>12.24</w:t>
      </w:r>
      <w:r>
        <w:rPr>
          <w:rFonts w:hint="eastAsia" w:ascii="宋体" w:hAnsi="宋体"/>
          <w:kern w:val="0"/>
          <w:sz w:val="24"/>
          <w:szCs w:val="24"/>
        </w:rPr>
        <w:t>万元，对企业补助（基本建设）</w:t>
      </w:r>
      <w:r>
        <w:rPr>
          <w:rFonts w:ascii="宋体"/>
          <w:kern w:val="0"/>
          <w:sz w:val="24"/>
          <w:szCs w:val="24"/>
        </w:rPr>
        <w:t>0</w:t>
      </w:r>
      <w:r>
        <w:rPr>
          <w:rFonts w:hint="eastAsia" w:ascii="宋体" w:hAnsi="宋体"/>
          <w:kern w:val="0"/>
          <w:sz w:val="24"/>
          <w:szCs w:val="24"/>
        </w:rPr>
        <w:t>万元</w:t>
      </w:r>
      <w:r>
        <w:rPr>
          <w:rFonts w:eastAsia="Times New Roman" w:cs="Times New Roman"/>
          <w:kern w:val="0"/>
          <w:sz w:val="24"/>
          <w:szCs w:val="24"/>
        </w:rPr>
        <w:t>,</w:t>
      </w:r>
      <w:r>
        <w:rPr>
          <w:rFonts w:hint="eastAsia"/>
          <w:kern w:val="0"/>
          <w:sz w:val="24"/>
          <w:szCs w:val="24"/>
        </w:rPr>
        <w:t>，</w:t>
      </w:r>
      <w:r>
        <w:rPr>
          <w:rFonts w:hint="eastAsia" w:ascii="宋体" w:hAnsi="宋体"/>
          <w:kern w:val="0"/>
          <w:sz w:val="24"/>
          <w:szCs w:val="24"/>
        </w:rPr>
        <w:t>对企业补助</w:t>
      </w:r>
      <w:r>
        <w:rPr>
          <w:rFonts w:ascii="宋体"/>
          <w:kern w:val="0"/>
          <w:sz w:val="24"/>
          <w:szCs w:val="24"/>
        </w:rPr>
        <w:t>0</w:t>
      </w:r>
      <w:r>
        <w:rPr>
          <w:rFonts w:hint="eastAsia" w:ascii="宋体" w:hAnsi="宋体"/>
          <w:kern w:val="0"/>
          <w:sz w:val="24"/>
          <w:szCs w:val="24"/>
        </w:rPr>
        <w:t>万元，对社会保障基金补助</w:t>
      </w:r>
      <w:r>
        <w:rPr>
          <w:rFonts w:ascii="宋体"/>
          <w:kern w:val="0"/>
          <w:sz w:val="24"/>
          <w:szCs w:val="24"/>
        </w:rPr>
        <w:t>0</w:t>
      </w:r>
      <w:r>
        <w:rPr>
          <w:rFonts w:hint="eastAsia" w:ascii="宋体" w:hAnsi="宋体"/>
          <w:kern w:val="0"/>
          <w:sz w:val="24"/>
          <w:szCs w:val="24"/>
        </w:rPr>
        <w:t>万元，其他支出</w:t>
      </w:r>
      <w:r>
        <w:rPr>
          <w:rFonts w:ascii="宋体"/>
          <w:kern w:val="0"/>
          <w:sz w:val="24"/>
          <w:szCs w:val="24"/>
        </w:rPr>
        <w:t>0</w:t>
      </w:r>
      <w:r>
        <w:rPr>
          <w:rFonts w:hint="eastAsia" w:ascii="宋体" w:hAnsi="宋体"/>
          <w:kern w:val="0"/>
          <w:sz w:val="24"/>
          <w:szCs w:val="24"/>
        </w:rPr>
        <w:t>万元。</w:t>
      </w:r>
    </w:p>
    <w:p>
      <w:pPr>
        <w:shd w:val="clear" w:color="auto" w:fill="FFFFFF"/>
        <w:spacing w:before="100" w:line="520" w:lineRule="exact"/>
        <w:ind w:firstLine="480"/>
        <w:jc w:val="left"/>
        <w:rPr>
          <w:rFonts w:eastAsia="Times New Roman" w:cs="Times New Roman"/>
          <w:kern w:val="0"/>
          <w:sz w:val="24"/>
          <w:szCs w:val="24"/>
        </w:rPr>
      </w:pPr>
      <w:r>
        <w:rPr>
          <w:rFonts w:hint="eastAsia" w:ascii="宋体" w:hAnsi="宋体"/>
          <w:kern w:val="0"/>
          <w:sz w:val="24"/>
          <w:szCs w:val="24"/>
        </w:rPr>
        <w:t>与年初预算数相比情况</w:t>
      </w:r>
      <w:r>
        <w:rPr>
          <w:rFonts w:ascii="宋体" w:hAnsi="宋体"/>
          <w:kern w:val="0"/>
          <w:sz w:val="24"/>
          <w:szCs w:val="24"/>
        </w:rPr>
        <w:t xml:space="preserve">: </w:t>
      </w:r>
      <w:r>
        <w:rPr>
          <w:rFonts w:hint="eastAsia" w:ascii="宋体" w:hAnsi="宋体"/>
          <w:kern w:val="0"/>
          <w:sz w:val="24"/>
          <w:szCs w:val="24"/>
          <w:lang w:val="zh-CN"/>
        </w:rPr>
        <w:t>一般公共预算财政拨款收入年初预算数</w:t>
      </w:r>
      <w:r>
        <w:rPr>
          <w:rFonts w:ascii="宋体" w:hAnsi="宋体"/>
          <w:kern w:val="0"/>
          <w:sz w:val="24"/>
          <w:szCs w:val="24"/>
        </w:rPr>
        <w:t>677.16</w:t>
      </w:r>
      <w:r>
        <w:rPr>
          <w:rFonts w:hint="eastAsia" w:ascii="宋体" w:hAnsi="宋体"/>
          <w:kern w:val="0"/>
          <w:sz w:val="24"/>
          <w:szCs w:val="24"/>
        </w:rPr>
        <w:t>万元，决算数</w:t>
      </w:r>
      <w:r>
        <w:rPr>
          <w:rFonts w:ascii="宋体" w:hAnsi="宋体"/>
          <w:kern w:val="0"/>
          <w:sz w:val="24"/>
          <w:szCs w:val="24"/>
        </w:rPr>
        <w:t>839.2</w:t>
      </w:r>
      <w:r>
        <w:rPr>
          <w:rFonts w:hint="eastAsia" w:ascii="宋体" w:hAnsi="宋体"/>
          <w:kern w:val="0"/>
          <w:sz w:val="24"/>
          <w:szCs w:val="24"/>
        </w:rPr>
        <w:t>万元，预决算差异率</w:t>
      </w:r>
      <w:r>
        <w:rPr>
          <w:rFonts w:ascii="宋体" w:hAnsi="宋体"/>
          <w:kern w:val="0"/>
          <w:sz w:val="24"/>
          <w:szCs w:val="24"/>
        </w:rPr>
        <w:t xml:space="preserve">23.93% </w:t>
      </w:r>
      <w:r>
        <w:rPr>
          <w:rFonts w:hint="eastAsia" w:ascii="宋体" w:hAnsi="宋体"/>
          <w:kern w:val="0"/>
          <w:sz w:val="24"/>
          <w:szCs w:val="24"/>
        </w:rPr>
        <w:t>，增减变化主要原因是政策性调资增资导致</w:t>
      </w:r>
      <w:r>
        <w:rPr>
          <w:rFonts w:ascii="宋体" w:hAnsi="宋体"/>
          <w:kern w:val="0"/>
          <w:sz w:val="24"/>
          <w:szCs w:val="24"/>
        </w:rPr>
        <w:t>2018</w:t>
      </w:r>
      <w:r>
        <w:rPr>
          <w:rFonts w:hint="eastAsia" w:ascii="宋体" w:hAnsi="宋体"/>
          <w:kern w:val="0"/>
          <w:sz w:val="24"/>
          <w:szCs w:val="24"/>
        </w:rPr>
        <w:t>年人员工资调整增加，本年拨款增加。</w:t>
      </w:r>
      <w:r>
        <w:rPr>
          <w:rFonts w:ascii="宋体" w:hAnsi="宋体"/>
          <w:kern w:val="0"/>
          <w:sz w:val="24"/>
          <w:szCs w:val="24"/>
        </w:rPr>
        <w:t xml:space="preserve"> </w:t>
      </w:r>
      <w:r>
        <w:rPr>
          <w:rFonts w:hint="eastAsia" w:ascii="宋体" w:hAnsi="宋体"/>
          <w:kern w:val="0"/>
          <w:sz w:val="24"/>
          <w:szCs w:val="24"/>
          <w:lang w:val="zh-CN"/>
        </w:rPr>
        <w:t>一般公共预算财政拨款支出年初预算数</w:t>
      </w:r>
      <w:r>
        <w:rPr>
          <w:rFonts w:ascii="宋体" w:hAnsi="宋体"/>
          <w:kern w:val="0"/>
          <w:sz w:val="24"/>
          <w:szCs w:val="24"/>
        </w:rPr>
        <w:t>677.16</w:t>
      </w:r>
      <w:r>
        <w:rPr>
          <w:rFonts w:hint="eastAsia" w:ascii="宋体" w:hAnsi="宋体"/>
          <w:kern w:val="0"/>
          <w:sz w:val="24"/>
          <w:szCs w:val="24"/>
          <w:lang w:val="zh-CN"/>
        </w:rPr>
        <w:t>万元</w:t>
      </w:r>
      <w:r>
        <w:rPr>
          <w:rFonts w:hint="eastAsia" w:ascii="宋体" w:hAnsi="宋体"/>
          <w:kern w:val="0"/>
          <w:sz w:val="24"/>
          <w:szCs w:val="24"/>
        </w:rPr>
        <w:t>，决算数</w:t>
      </w:r>
      <w:r>
        <w:rPr>
          <w:rFonts w:ascii="宋体" w:hAnsi="宋体"/>
          <w:kern w:val="0"/>
          <w:sz w:val="24"/>
          <w:szCs w:val="24"/>
        </w:rPr>
        <w:t>839.2</w:t>
      </w:r>
      <w:r>
        <w:rPr>
          <w:rFonts w:hint="eastAsia" w:ascii="宋体" w:hAnsi="宋体"/>
          <w:kern w:val="0"/>
          <w:sz w:val="24"/>
          <w:szCs w:val="24"/>
        </w:rPr>
        <w:t>万元，预决算差异率</w:t>
      </w:r>
      <w:r>
        <w:rPr>
          <w:rFonts w:ascii="宋体" w:hAnsi="宋体"/>
          <w:kern w:val="0"/>
          <w:sz w:val="24"/>
          <w:szCs w:val="24"/>
        </w:rPr>
        <w:t>23.93%</w:t>
      </w:r>
      <w:r>
        <w:rPr>
          <w:rFonts w:hint="eastAsia" w:ascii="宋体" w:hAnsi="宋体"/>
          <w:kern w:val="0"/>
          <w:sz w:val="24"/>
          <w:szCs w:val="24"/>
        </w:rPr>
        <w:t>，差异主要原因是政策性调资增资导致人员工资调整增加，增加其他财政事务支出，同时支出增大</w:t>
      </w:r>
      <w:r>
        <w:rPr>
          <w:rFonts w:hint="eastAsia" w:ascii="宋体" w:hAnsi="宋体"/>
          <w:kern w:val="0"/>
          <w:sz w:val="24"/>
          <w:szCs w:val="24"/>
          <w:lang w:val="zh-CN"/>
        </w:rPr>
        <w:t>。</w:t>
      </w:r>
    </w:p>
    <w:p>
      <w:pPr>
        <w:shd w:val="clear" w:color="auto" w:fill="FFFFFF"/>
        <w:spacing w:before="100" w:after="240"/>
        <w:jc w:val="left"/>
        <w:rPr>
          <w:rFonts w:ascii="宋体"/>
          <w:kern w:val="0"/>
          <w:sz w:val="24"/>
          <w:szCs w:val="24"/>
        </w:rPr>
      </w:pPr>
    </w:p>
    <w:p>
      <w:pPr>
        <w:shd w:val="clear" w:color="auto" w:fill="FFFFFF"/>
        <w:spacing w:before="100" w:after="240"/>
        <w:jc w:val="left"/>
        <w:rPr>
          <w:rFonts w:eastAsia="Times New Roman" w:cs="Times New Roman"/>
          <w:b/>
          <w:bCs/>
          <w:kern w:val="0"/>
          <w:sz w:val="24"/>
          <w:szCs w:val="24"/>
        </w:rPr>
      </w:pPr>
      <w:r>
        <w:rPr>
          <w:rFonts w:hint="eastAsia" w:ascii="宋体" w:hAnsi="宋体"/>
          <w:b/>
          <w:bCs/>
          <w:kern w:val="0"/>
          <w:sz w:val="24"/>
          <w:szCs w:val="24"/>
        </w:rPr>
        <w:t>（三）政府性基金预算收支决算情况说明</w:t>
      </w:r>
    </w:p>
    <w:p>
      <w:pPr>
        <w:spacing w:line="520" w:lineRule="exact"/>
        <w:ind w:firstLine="480"/>
        <w:rPr>
          <w:rFonts w:ascii="宋体"/>
          <w:kern w:val="0"/>
          <w:sz w:val="24"/>
          <w:szCs w:val="24"/>
        </w:rPr>
      </w:pPr>
      <w:r>
        <w:rPr>
          <w:rFonts w:ascii="宋体" w:hAnsi="宋体"/>
          <w:kern w:val="0"/>
          <w:sz w:val="24"/>
          <w:szCs w:val="24"/>
        </w:rPr>
        <w:t>2018</w:t>
      </w:r>
      <w:r>
        <w:rPr>
          <w:rFonts w:hint="eastAsia" w:ascii="宋体" w:hAnsi="宋体"/>
          <w:kern w:val="0"/>
          <w:sz w:val="24"/>
          <w:szCs w:val="24"/>
        </w:rPr>
        <w:t>年度政府性基金预算财政拨款收入</w:t>
      </w:r>
      <w:r>
        <w:rPr>
          <w:rFonts w:ascii="宋体"/>
          <w:kern w:val="0"/>
          <w:sz w:val="24"/>
          <w:szCs w:val="24"/>
        </w:rPr>
        <w:t>0</w:t>
      </w:r>
      <w:r>
        <w:rPr>
          <w:rFonts w:hint="eastAsia" w:ascii="宋体" w:hAnsi="宋体"/>
          <w:kern w:val="0"/>
          <w:sz w:val="24"/>
          <w:szCs w:val="24"/>
        </w:rPr>
        <w:t>万元，与上年相比，增加</w:t>
      </w:r>
      <w:r>
        <w:rPr>
          <w:rFonts w:ascii="宋体"/>
          <w:kern w:val="0"/>
          <w:sz w:val="24"/>
          <w:szCs w:val="24"/>
        </w:rPr>
        <w:t>0</w:t>
      </w:r>
      <w:r>
        <w:rPr>
          <w:rFonts w:hint="eastAsia" w:ascii="宋体" w:hAnsi="宋体"/>
          <w:kern w:val="0"/>
          <w:sz w:val="24"/>
          <w:szCs w:val="24"/>
        </w:rPr>
        <w:t>万元，增长</w:t>
      </w:r>
      <w:r>
        <w:rPr>
          <w:rFonts w:ascii="宋体" w:hAnsi="宋体"/>
          <w:kern w:val="0"/>
          <w:sz w:val="24"/>
          <w:szCs w:val="24"/>
        </w:rPr>
        <w:t>0%</w:t>
      </w:r>
      <w:r>
        <w:rPr>
          <w:rFonts w:hint="eastAsia" w:ascii="宋体" w:hAnsi="宋体"/>
          <w:kern w:val="0"/>
          <w:sz w:val="24"/>
          <w:szCs w:val="24"/>
        </w:rPr>
        <w:t>，增减变化的主要原因是：我单位</w:t>
      </w:r>
      <w:r>
        <w:rPr>
          <w:rFonts w:ascii="宋体" w:hAnsi="宋体"/>
          <w:kern w:val="0"/>
          <w:sz w:val="24"/>
          <w:szCs w:val="24"/>
        </w:rPr>
        <w:t>2018</w:t>
      </w:r>
      <w:r>
        <w:rPr>
          <w:rFonts w:hint="eastAsia" w:ascii="宋体" w:hAnsi="宋体"/>
          <w:kern w:val="0"/>
          <w:sz w:val="24"/>
          <w:szCs w:val="24"/>
        </w:rPr>
        <w:t>年无政府性基金收入，与上年相比无变化。政府性基金预算财政拨款支出</w:t>
      </w:r>
      <w:r>
        <w:rPr>
          <w:rFonts w:ascii="宋体"/>
          <w:kern w:val="0"/>
          <w:sz w:val="24"/>
          <w:szCs w:val="24"/>
        </w:rPr>
        <w:t>0</w:t>
      </w:r>
      <w:r>
        <w:rPr>
          <w:rFonts w:hint="eastAsia" w:ascii="宋体" w:hAnsi="宋体"/>
          <w:kern w:val="0"/>
          <w:sz w:val="24"/>
          <w:szCs w:val="24"/>
        </w:rPr>
        <w:t>万元，与上年相比，增加</w:t>
      </w:r>
      <w:r>
        <w:rPr>
          <w:rFonts w:ascii="宋体"/>
          <w:kern w:val="0"/>
          <w:sz w:val="24"/>
          <w:szCs w:val="24"/>
        </w:rPr>
        <w:t>0</w:t>
      </w:r>
      <w:r>
        <w:rPr>
          <w:rFonts w:hint="eastAsia" w:ascii="宋体" w:hAnsi="宋体"/>
          <w:kern w:val="0"/>
          <w:sz w:val="24"/>
          <w:szCs w:val="24"/>
        </w:rPr>
        <w:t>万元，增长</w:t>
      </w:r>
      <w:r>
        <w:rPr>
          <w:rFonts w:ascii="宋体" w:hAnsi="宋体"/>
          <w:kern w:val="0"/>
          <w:sz w:val="24"/>
          <w:szCs w:val="24"/>
        </w:rPr>
        <w:t>0%</w:t>
      </w:r>
      <w:r>
        <w:rPr>
          <w:rFonts w:hint="eastAsia" w:ascii="宋体" w:hAnsi="宋体"/>
          <w:kern w:val="0"/>
          <w:sz w:val="24"/>
          <w:szCs w:val="24"/>
        </w:rPr>
        <w:t>，增减变化的主要原因是：我单位</w:t>
      </w:r>
      <w:r>
        <w:rPr>
          <w:rFonts w:ascii="宋体" w:hAnsi="宋体"/>
          <w:kern w:val="0"/>
          <w:sz w:val="24"/>
          <w:szCs w:val="24"/>
        </w:rPr>
        <w:t>2018</w:t>
      </w:r>
      <w:r>
        <w:rPr>
          <w:rFonts w:hint="eastAsia" w:ascii="宋体" w:hAnsi="宋体"/>
          <w:kern w:val="0"/>
          <w:sz w:val="24"/>
          <w:szCs w:val="24"/>
        </w:rPr>
        <w:t>年无政府性基金支出，与上年相比无变化。其中：按功能分类科目</w:t>
      </w:r>
      <w:r>
        <w:rPr>
          <w:rFonts w:ascii="宋体" w:hAnsi="宋体"/>
          <w:kern w:val="0"/>
          <w:sz w:val="24"/>
          <w:szCs w:val="24"/>
        </w:rPr>
        <w:t>(</w:t>
      </w:r>
      <w:r>
        <w:rPr>
          <w:rFonts w:hint="eastAsia" w:ascii="宋体" w:hAnsi="宋体"/>
          <w:kern w:val="0"/>
          <w:sz w:val="24"/>
          <w:szCs w:val="24"/>
        </w:rPr>
        <w:t>按类级科目公开</w:t>
      </w:r>
      <w:r>
        <w:rPr>
          <w:rFonts w:ascii="宋体" w:hAnsi="宋体"/>
          <w:kern w:val="0"/>
          <w:sz w:val="24"/>
          <w:szCs w:val="24"/>
        </w:rPr>
        <w:t>)</w:t>
      </w:r>
      <w:r>
        <w:rPr>
          <w:rFonts w:hint="eastAsia" w:ascii="宋体" w:hAnsi="宋体"/>
          <w:kern w:val="0"/>
          <w:sz w:val="24"/>
          <w:szCs w:val="24"/>
        </w:rPr>
        <w:t>，本单位无政府性基金预算支出。按经济分类科目</w:t>
      </w:r>
      <w:r>
        <w:rPr>
          <w:rFonts w:ascii="宋体" w:hAnsi="宋体"/>
          <w:kern w:val="0"/>
          <w:sz w:val="24"/>
          <w:szCs w:val="24"/>
        </w:rPr>
        <w:t>(</w:t>
      </w:r>
      <w:r>
        <w:rPr>
          <w:rFonts w:hint="eastAsia" w:ascii="宋体" w:hAnsi="宋体"/>
          <w:kern w:val="0"/>
          <w:sz w:val="24"/>
          <w:szCs w:val="24"/>
        </w:rPr>
        <w:t>按类级科目公开</w:t>
      </w:r>
      <w:r>
        <w:rPr>
          <w:rFonts w:ascii="宋体" w:hAnsi="宋体"/>
          <w:kern w:val="0"/>
          <w:sz w:val="24"/>
          <w:szCs w:val="24"/>
        </w:rPr>
        <w:t>)</w:t>
      </w:r>
      <w:r>
        <w:rPr>
          <w:rFonts w:hint="eastAsia" w:ascii="宋体" w:hAnsi="宋体"/>
          <w:kern w:val="0"/>
          <w:sz w:val="24"/>
          <w:szCs w:val="24"/>
        </w:rPr>
        <w:t>，工资福利支出</w:t>
      </w:r>
      <w:r>
        <w:rPr>
          <w:rFonts w:ascii="宋体"/>
          <w:kern w:val="0"/>
          <w:sz w:val="24"/>
          <w:szCs w:val="24"/>
        </w:rPr>
        <w:t>0</w:t>
      </w:r>
      <w:r>
        <w:rPr>
          <w:rFonts w:hint="eastAsia" w:ascii="宋体" w:hAnsi="宋体"/>
          <w:kern w:val="0"/>
          <w:sz w:val="24"/>
          <w:szCs w:val="24"/>
        </w:rPr>
        <w:t>万元，商品和服务支出</w:t>
      </w:r>
      <w:r>
        <w:rPr>
          <w:rFonts w:ascii="宋体"/>
          <w:kern w:val="0"/>
          <w:sz w:val="24"/>
          <w:szCs w:val="24"/>
        </w:rPr>
        <w:t>0</w:t>
      </w:r>
      <w:r>
        <w:rPr>
          <w:rFonts w:hint="eastAsia" w:ascii="宋体" w:hAnsi="宋体"/>
          <w:kern w:val="0"/>
          <w:sz w:val="24"/>
          <w:szCs w:val="24"/>
        </w:rPr>
        <w:t>万元</w:t>
      </w:r>
      <w:r>
        <w:rPr>
          <w:rFonts w:ascii="宋体"/>
          <w:kern w:val="0"/>
          <w:sz w:val="24"/>
          <w:szCs w:val="24"/>
        </w:rPr>
        <w:t>,</w:t>
      </w:r>
      <w:r>
        <w:rPr>
          <w:rFonts w:hint="eastAsia" w:ascii="宋体" w:hAnsi="宋体"/>
          <w:kern w:val="0"/>
          <w:sz w:val="24"/>
          <w:szCs w:val="24"/>
        </w:rPr>
        <w:t>对个人和家庭的补助</w:t>
      </w:r>
      <w:r>
        <w:rPr>
          <w:rFonts w:ascii="宋体"/>
          <w:kern w:val="0"/>
          <w:sz w:val="24"/>
          <w:szCs w:val="24"/>
        </w:rPr>
        <w:t>0</w:t>
      </w:r>
      <w:r>
        <w:rPr>
          <w:rFonts w:hint="eastAsia" w:ascii="宋体" w:hAnsi="宋体"/>
          <w:kern w:val="0"/>
          <w:sz w:val="24"/>
          <w:szCs w:val="24"/>
        </w:rPr>
        <w:t>万元</w:t>
      </w:r>
      <w:r>
        <w:rPr>
          <w:rFonts w:ascii="宋体"/>
          <w:kern w:val="0"/>
          <w:sz w:val="24"/>
          <w:szCs w:val="24"/>
        </w:rPr>
        <w:t>,</w:t>
      </w:r>
      <w:r>
        <w:rPr>
          <w:rFonts w:hint="eastAsia" w:ascii="宋体" w:hAnsi="宋体"/>
          <w:kern w:val="0"/>
          <w:sz w:val="24"/>
          <w:szCs w:val="24"/>
        </w:rPr>
        <w:t>债务利息及费用支出</w:t>
      </w:r>
      <w:r>
        <w:rPr>
          <w:rFonts w:ascii="宋体"/>
          <w:kern w:val="0"/>
          <w:sz w:val="24"/>
          <w:szCs w:val="24"/>
        </w:rPr>
        <w:t>0</w:t>
      </w:r>
      <w:r>
        <w:rPr>
          <w:rFonts w:hint="eastAsia" w:ascii="宋体" w:hAnsi="宋体"/>
          <w:kern w:val="0"/>
          <w:sz w:val="24"/>
          <w:szCs w:val="24"/>
        </w:rPr>
        <w:t>万元</w:t>
      </w:r>
      <w:r>
        <w:rPr>
          <w:rFonts w:ascii="宋体"/>
          <w:kern w:val="0"/>
          <w:sz w:val="24"/>
          <w:szCs w:val="24"/>
        </w:rPr>
        <w:t>,</w:t>
      </w:r>
      <w:r>
        <w:rPr>
          <w:rFonts w:hint="eastAsia" w:ascii="宋体" w:hAnsi="宋体"/>
          <w:kern w:val="0"/>
          <w:sz w:val="24"/>
          <w:szCs w:val="24"/>
        </w:rPr>
        <w:t>资本性支出（基本建设）</w:t>
      </w:r>
      <w:r>
        <w:rPr>
          <w:rFonts w:ascii="宋体"/>
          <w:kern w:val="0"/>
          <w:sz w:val="24"/>
          <w:szCs w:val="24"/>
        </w:rPr>
        <w:t>0</w:t>
      </w:r>
      <w:r>
        <w:rPr>
          <w:rFonts w:hint="eastAsia" w:ascii="宋体" w:hAnsi="宋体"/>
          <w:kern w:val="0"/>
          <w:sz w:val="24"/>
          <w:szCs w:val="24"/>
        </w:rPr>
        <w:t>万元</w:t>
      </w:r>
      <w:r>
        <w:rPr>
          <w:rFonts w:ascii="宋体"/>
          <w:kern w:val="0"/>
          <w:sz w:val="24"/>
          <w:szCs w:val="24"/>
        </w:rPr>
        <w:t>,</w:t>
      </w:r>
      <w:r>
        <w:rPr>
          <w:rFonts w:hint="eastAsia" w:ascii="宋体" w:hAnsi="宋体"/>
          <w:kern w:val="0"/>
          <w:sz w:val="24"/>
          <w:szCs w:val="24"/>
        </w:rPr>
        <w:t>资本性支出</w:t>
      </w:r>
      <w:r>
        <w:rPr>
          <w:rFonts w:ascii="宋体"/>
          <w:kern w:val="0"/>
          <w:sz w:val="24"/>
          <w:szCs w:val="24"/>
        </w:rPr>
        <w:t>0</w:t>
      </w:r>
      <w:r>
        <w:rPr>
          <w:rFonts w:hint="eastAsia" w:ascii="宋体" w:hAnsi="宋体"/>
          <w:kern w:val="0"/>
          <w:sz w:val="24"/>
          <w:szCs w:val="24"/>
        </w:rPr>
        <w:t>万元</w:t>
      </w:r>
      <w:r>
        <w:rPr>
          <w:rFonts w:ascii="宋体"/>
          <w:kern w:val="0"/>
          <w:sz w:val="24"/>
          <w:szCs w:val="24"/>
        </w:rPr>
        <w:t>,</w:t>
      </w:r>
      <w:r>
        <w:rPr>
          <w:rFonts w:hint="eastAsia" w:ascii="宋体" w:hAnsi="宋体"/>
          <w:kern w:val="0"/>
          <w:sz w:val="24"/>
          <w:szCs w:val="24"/>
        </w:rPr>
        <w:t>对企业补助（基本建设）</w:t>
      </w:r>
      <w:r>
        <w:rPr>
          <w:rFonts w:ascii="宋体"/>
          <w:kern w:val="0"/>
          <w:sz w:val="24"/>
          <w:szCs w:val="24"/>
        </w:rPr>
        <w:t>0</w:t>
      </w:r>
      <w:r>
        <w:rPr>
          <w:rFonts w:hint="eastAsia" w:ascii="宋体" w:hAnsi="宋体"/>
          <w:kern w:val="0"/>
          <w:sz w:val="24"/>
          <w:szCs w:val="24"/>
        </w:rPr>
        <w:t>万元</w:t>
      </w:r>
      <w:r>
        <w:rPr>
          <w:rFonts w:ascii="宋体"/>
          <w:kern w:val="0"/>
          <w:sz w:val="24"/>
          <w:szCs w:val="24"/>
        </w:rPr>
        <w:t>,</w:t>
      </w:r>
      <w:r>
        <w:rPr>
          <w:rFonts w:hint="eastAsia" w:ascii="宋体" w:hAnsi="宋体"/>
          <w:kern w:val="0"/>
          <w:sz w:val="24"/>
          <w:szCs w:val="24"/>
        </w:rPr>
        <w:t>对企业补助</w:t>
      </w:r>
      <w:r>
        <w:rPr>
          <w:rFonts w:ascii="宋体"/>
          <w:kern w:val="0"/>
          <w:sz w:val="24"/>
          <w:szCs w:val="24"/>
        </w:rPr>
        <w:t>0</w:t>
      </w:r>
      <w:r>
        <w:rPr>
          <w:rFonts w:hint="eastAsia" w:ascii="宋体" w:hAnsi="宋体"/>
          <w:kern w:val="0"/>
          <w:sz w:val="24"/>
          <w:szCs w:val="24"/>
        </w:rPr>
        <w:t>万元，对社会保障基金补助</w:t>
      </w:r>
      <w:r>
        <w:rPr>
          <w:rFonts w:ascii="宋体"/>
          <w:kern w:val="0"/>
          <w:sz w:val="24"/>
          <w:szCs w:val="24"/>
        </w:rPr>
        <w:t>0</w:t>
      </w:r>
      <w:r>
        <w:rPr>
          <w:rFonts w:hint="eastAsia" w:ascii="宋体" w:hAnsi="宋体"/>
          <w:kern w:val="0"/>
          <w:sz w:val="24"/>
          <w:szCs w:val="24"/>
        </w:rPr>
        <w:t>万元，其他支出</w:t>
      </w:r>
      <w:r>
        <w:rPr>
          <w:rFonts w:ascii="宋体"/>
          <w:kern w:val="0"/>
          <w:sz w:val="24"/>
          <w:szCs w:val="24"/>
        </w:rPr>
        <w:t>0</w:t>
      </w:r>
      <w:r>
        <w:rPr>
          <w:rFonts w:hint="eastAsia" w:ascii="宋体" w:hAnsi="宋体"/>
          <w:kern w:val="0"/>
          <w:sz w:val="24"/>
          <w:szCs w:val="24"/>
        </w:rPr>
        <w:t>万元。</w:t>
      </w:r>
    </w:p>
    <w:p>
      <w:pPr>
        <w:spacing w:line="520" w:lineRule="exact"/>
        <w:ind w:firstLine="480"/>
        <w:rPr>
          <w:rFonts w:ascii="宋体" w:hAnsi="宋体"/>
          <w:kern w:val="0"/>
          <w:sz w:val="24"/>
          <w:szCs w:val="24"/>
        </w:rPr>
      </w:pPr>
      <w:r>
        <w:rPr>
          <w:rFonts w:hint="eastAsia" w:ascii="宋体" w:hAnsi="宋体"/>
          <w:kern w:val="0"/>
          <w:sz w:val="24"/>
          <w:szCs w:val="24"/>
        </w:rPr>
        <w:t>与年初预算数相比情况</w:t>
      </w:r>
      <w:r>
        <w:rPr>
          <w:rFonts w:ascii="宋体" w:hAnsi="宋体"/>
          <w:kern w:val="0"/>
          <w:sz w:val="24"/>
          <w:szCs w:val="24"/>
        </w:rPr>
        <w:t>:</w:t>
      </w:r>
      <w:r>
        <w:rPr>
          <w:rFonts w:hint="eastAsia" w:ascii="宋体" w:hAnsi="宋体"/>
          <w:kern w:val="0"/>
          <w:sz w:val="24"/>
          <w:szCs w:val="24"/>
        </w:rPr>
        <w:t>政府性基金预算财政拨款收入年初预算数</w:t>
      </w:r>
      <w:r>
        <w:rPr>
          <w:rFonts w:ascii="宋体"/>
          <w:kern w:val="0"/>
          <w:sz w:val="24"/>
          <w:szCs w:val="24"/>
        </w:rPr>
        <w:t>0</w:t>
      </w:r>
      <w:r>
        <w:rPr>
          <w:rFonts w:hint="eastAsia" w:ascii="宋体" w:hAnsi="宋体"/>
          <w:kern w:val="0"/>
          <w:sz w:val="24"/>
          <w:szCs w:val="24"/>
        </w:rPr>
        <w:t>万元，决算数</w:t>
      </w:r>
      <w:r>
        <w:rPr>
          <w:rFonts w:ascii="宋体"/>
          <w:kern w:val="0"/>
          <w:sz w:val="24"/>
          <w:szCs w:val="24"/>
        </w:rPr>
        <w:t>0</w:t>
      </w:r>
      <w:r>
        <w:rPr>
          <w:rFonts w:hint="eastAsia" w:ascii="宋体" w:hAnsi="宋体"/>
          <w:kern w:val="0"/>
          <w:sz w:val="24"/>
          <w:szCs w:val="24"/>
        </w:rPr>
        <w:t>万元，预决算差异率</w:t>
      </w:r>
      <w:r>
        <w:rPr>
          <w:rFonts w:ascii="宋体" w:hAnsi="宋体"/>
          <w:kern w:val="0"/>
          <w:sz w:val="24"/>
          <w:szCs w:val="24"/>
        </w:rPr>
        <w:t>0%</w:t>
      </w:r>
      <w:r>
        <w:rPr>
          <w:rFonts w:hint="eastAsia" w:ascii="宋体" w:hAnsi="宋体"/>
          <w:kern w:val="0"/>
          <w:sz w:val="24"/>
          <w:szCs w:val="24"/>
        </w:rPr>
        <w:t>。差异主要原因是我单位</w:t>
      </w:r>
      <w:r>
        <w:rPr>
          <w:rFonts w:ascii="宋体" w:hAnsi="宋体"/>
          <w:kern w:val="0"/>
          <w:sz w:val="24"/>
          <w:szCs w:val="24"/>
        </w:rPr>
        <w:t>2018</w:t>
      </w:r>
      <w:r>
        <w:rPr>
          <w:rFonts w:hint="eastAsia" w:ascii="宋体" w:hAnsi="宋体"/>
          <w:kern w:val="0"/>
          <w:sz w:val="24"/>
          <w:szCs w:val="24"/>
        </w:rPr>
        <w:t>年无政府性基金支出，与年初预算数相比无变化。政府性基金预算财政拨款支出年初预算数</w:t>
      </w:r>
      <w:r>
        <w:rPr>
          <w:rFonts w:ascii="宋体"/>
          <w:kern w:val="0"/>
          <w:sz w:val="24"/>
          <w:szCs w:val="24"/>
        </w:rPr>
        <w:t>0</w:t>
      </w:r>
      <w:r>
        <w:rPr>
          <w:rFonts w:hint="eastAsia" w:ascii="宋体" w:hAnsi="宋体"/>
          <w:kern w:val="0"/>
          <w:sz w:val="24"/>
          <w:szCs w:val="24"/>
        </w:rPr>
        <w:t>万元，决算数</w:t>
      </w:r>
      <w:r>
        <w:rPr>
          <w:rFonts w:ascii="宋体"/>
          <w:kern w:val="0"/>
          <w:sz w:val="24"/>
          <w:szCs w:val="24"/>
        </w:rPr>
        <w:t>0</w:t>
      </w:r>
      <w:r>
        <w:rPr>
          <w:rFonts w:hint="eastAsia" w:ascii="宋体" w:hAnsi="宋体"/>
          <w:kern w:val="0"/>
          <w:sz w:val="24"/>
          <w:szCs w:val="24"/>
        </w:rPr>
        <w:t>万元，预决算差异率</w:t>
      </w:r>
      <w:r>
        <w:rPr>
          <w:rFonts w:ascii="宋体" w:hAnsi="宋体"/>
          <w:kern w:val="0"/>
          <w:sz w:val="24"/>
          <w:szCs w:val="24"/>
        </w:rPr>
        <w:t>0%</w:t>
      </w:r>
      <w:r>
        <w:rPr>
          <w:rFonts w:hint="eastAsia" w:ascii="宋体" w:hAnsi="宋体"/>
          <w:kern w:val="0"/>
          <w:sz w:val="24"/>
          <w:szCs w:val="24"/>
        </w:rPr>
        <w:t>。差异主要原因是</w:t>
      </w:r>
      <w:r>
        <w:rPr>
          <w:rFonts w:ascii="宋体" w:hAnsi="宋体"/>
          <w:kern w:val="0"/>
          <w:sz w:val="24"/>
          <w:szCs w:val="24"/>
        </w:rPr>
        <w:t>2018</w:t>
      </w:r>
      <w:r>
        <w:rPr>
          <w:rFonts w:hint="eastAsia" w:ascii="宋体" w:hAnsi="宋体"/>
          <w:kern w:val="0"/>
          <w:sz w:val="24"/>
          <w:szCs w:val="24"/>
        </w:rPr>
        <w:t>年我单位无政府性基金预算。与年初预算数相比无变化。</w:t>
      </w:r>
    </w:p>
    <w:p>
      <w:pPr>
        <w:spacing w:line="520" w:lineRule="exact"/>
        <w:ind w:firstLine="480"/>
        <w:rPr>
          <w:rFonts w:eastAsia="Times New Roman" w:cs="Times New Roman"/>
          <w:kern w:val="0"/>
          <w:sz w:val="24"/>
          <w:szCs w:val="24"/>
        </w:rPr>
      </w:pPr>
    </w:p>
    <w:p>
      <w:pPr>
        <w:shd w:val="clear" w:color="auto" w:fill="FFFFFF"/>
        <w:spacing w:before="100" w:after="240"/>
        <w:jc w:val="left"/>
        <w:rPr>
          <w:rFonts w:eastAsia="Times New Roman" w:cs="Times New Roman"/>
          <w:b/>
          <w:bCs/>
          <w:kern w:val="0"/>
          <w:sz w:val="24"/>
          <w:szCs w:val="24"/>
        </w:rPr>
      </w:pPr>
      <w:r>
        <w:rPr>
          <w:rFonts w:hint="eastAsia" w:ascii="宋体" w:hAnsi="宋体"/>
          <w:b/>
          <w:bCs/>
          <w:kern w:val="0"/>
          <w:sz w:val="24"/>
          <w:szCs w:val="24"/>
        </w:rPr>
        <w:t>三、部门结转结余情况</w:t>
      </w:r>
    </w:p>
    <w:p>
      <w:pPr>
        <w:shd w:val="clear" w:color="auto" w:fill="FFFFFF"/>
        <w:spacing w:before="100" w:line="520" w:lineRule="exact"/>
        <w:ind w:firstLine="480"/>
        <w:rPr>
          <w:rFonts w:eastAsia="Times New Roman" w:cs="Times New Roman"/>
          <w:kern w:val="0"/>
          <w:sz w:val="24"/>
          <w:szCs w:val="24"/>
        </w:rPr>
      </w:pPr>
      <w:r>
        <w:rPr>
          <w:rFonts w:hint="eastAsia" w:ascii="宋体" w:hAnsi="宋体"/>
          <w:kern w:val="0"/>
          <w:sz w:val="24"/>
          <w:szCs w:val="24"/>
        </w:rPr>
        <w:t>年末结转结余</w:t>
      </w:r>
      <w:r>
        <w:rPr>
          <w:rFonts w:ascii="宋体" w:hAnsi="宋体"/>
          <w:kern w:val="0"/>
          <w:sz w:val="24"/>
          <w:szCs w:val="24"/>
        </w:rPr>
        <w:t>65.35</w:t>
      </w:r>
      <w:r>
        <w:rPr>
          <w:rFonts w:hint="eastAsia" w:ascii="宋体" w:hAnsi="宋体"/>
          <w:kern w:val="0"/>
          <w:sz w:val="24"/>
          <w:szCs w:val="24"/>
        </w:rPr>
        <w:t>万元。与上年相比，</w:t>
      </w:r>
      <w:r>
        <w:rPr>
          <w:rFonts w:hint="eastAsia" w:ascii="宋体" w:hAnsi="宋体"/>
          <w:color w:val="000000"/>
          <w:kern w:val="0"/>
          <w:sz w:val="24"/>
          <w:szCs w:val="24"/>
        </w:rPr>
        <w:t>增加</w:t>
      </w:r>
      <w:r>
        <w:rPr>
          <w:rFonts w:ascii="宋体"/>
          <w:kern w:val="0"/>
          <w:sz w:val="24"/>
          <w:szCs w:val="24"/>
        </w:rPr>
        <w:t>0</w:t>
      </w:r>
      <w:r>
        <w:rPr>
          <w:rFonts w:hint="eastAsia" w:ascii="宋体" w:hAnsi="宋体"/>
          <w:kern w:val="0"/>
          <w:sz w:val="24"/>
          <w:szCs w:val="24"/>
        </w:rPr>
        <w:t>万元，</w:t>
      </w:r>
      <w:r>
        <w:rPr>
          <w:rFonts w:hint="eastAsia" w:ascii="宋体" w:hAnsi="宋体"/>
          <w:color w:val="000000"/>
          <w:kern w:val="0"/>
          <w:sz w:val="24"/>
          <w:szCs w:val="24"/>
        </w:rPr>
        <w:t>增长</w:t>
      </w:r>
      <w:r>
        <w:rPr>
          <w:rFonts w:ascii="宋体" w:hAnsi="宋体"/>
          <w:kern w:val="0"/>
          <w:sz w:val="24"/>
          <w:szCs w:val="24"/>
        </w:rPr>
        <w:t>0%</w:t>
      </w:r>
      <w:r>
        <w:rPr>
          <w:rFonts w:hint="eastAsia" w:ascii="宋体" w:hAnsi="宋体"/>
          <w:kern w:val="0"/>
          <w:sz w:val="24"/>
          <w:szCs w:val="24"/>
        </w:rPr>
        <w:t>。</w:t>
      </w:r>
    </w:p>
    <w:p>
      <w:pPr>
        <w:shd w:val="clear" w:color="auto" w:fill="FFFFFF"/>
        <w:spacing w:before="100" w:line="520" w:lineRule="exact"/>
        <w:ind w:firstLine="480"/>
        <w:rPr>
          <w:rFonts w:eastAsia="Times New Roman" w:cs="Times New Roman"/>
          <w:kern w:val="0"/>
          <w:sz w:val="24"/>
          <w:szCs w:val="24"/>
        </w:rPr>
      </w:pPr>
      <w:r>
        <w:rPr>
          <w:rFonts w:hint="eastAsia" w:ascii="宋体" w:hAnsi="宋体"/>
          <w:kern w:val="0"/>
          <w:sz w:val="24"/>
          <w:szCs w:val="24"/>
        </w:rPr>
        <w:t>其中财政拨款结转结余</w:t>
      </w:r>
      <w:r>
        <w:rPr>
          <w:rFonts w:ascii="宋体"/>
          <w:kern w:val="0"/>
          <w:sz w:val="24"/>
          <w:szCs w:val="24"/>
        </w:rPr>
        <w:t>0</w:t>
      </w:r>
      <w:r>
        <w:rPr>
          <w:rFonts w:hint="eastAsia" w:ascii="宋体" w:hAnsi="宋体"/>
          <w:kern w:val="0"/>
          <w:sz w:val="24"/>
          <w:szCs w:val="24"/>
        </w:rPr>
        <w:t>万元。与上年相比，</w:t>
      </w:r>
      <w:r>
        <w:rPr>
          <w:rFonts w:hint="eastAsia" w:ascii="宋体" w:hAnsi="宋体"/>
          <w:color w:val="000000"/>
          <w:kern w:val="0"/>
          <w:sz w:val="24"/>
          <w:szCs w:val="24"/>
        </w:rPr>
        <w:t>增加</w:t>
      </w:r>
      <w:r>
        <w:rPr>
          <w:rFonts w:ascii="宋体"/>
          <w:kern w:val="0"/>
          <w:sz w:val="24"/>
          <w:szCs w:val="24"/>
        </w:rPr>
        <w:t>0</w:t>
      </w:r>
      <w:r>
        <w:rPr>
          <w:rFonts w:hint="eastAsia" w:ascii="宋体" w:hAnsi="宋体"/>
          <w:kern w:val="0"/>
          <w:sz w:val="24"/>
          <w:szCs w:val="24"/>
        </w:rPr>
        <w:t>万元，</w:t>
      </w:r>
      <w:r>
        <w:rPr>
          <w:rFonts w:hint="eastAsia" w:ascii="宋体" w:hAnsi="宋体"/>
          <w:color w:val="000000"/>
          <w:kern w:val="0"/>
          <w:sz w:val="24"/>
          <w:szCs w:val="24"/>
        </w:rPr>
        <w:t>增长</w:t>
      </w:r>
      <w:r>
        <w:rPr>
          <w:rFonts w:ascii="宋体" w:hAnsi="宋体"/>
          <w:kern w:val="0"/>
          <w:sz w:val="24"/>
          <w:szCs w:val="24"/>
        </w:rPr>
        <w:t>0%</w:t>
      </w:r>
      <w:r>
        <w:rPr>
          <w:rFonts w:hint="eastAsia" w:ascii="宋体" w:hAnsi="宋体"/>
          <w:kern w:val="0"/>
          <w:sz w:val="24"/>
          <w:szCs w:val="24"/>
        </w:rPr>
        <w:t>。</w:t>
      </w:r>
    </w:p>
    <w:p>
      <w:pPr>
        <w:shd w:val="clear" w:color="auto" w:fill="FFFFFF"/>
        <w:spacing w:before="100" w:line="520" w:lineRule="exact"/>
        <w:ind w:firstLine="480"/>
        <w:rPr>
          <w:rFonts w:eastAsia="Times New Roman" w:cs="Times New Roman"/>
          <w:kern w:val="0"/>
          <w:sz w:val="24"/>
          <w:szCs w:val="24"/>
        </w:rPr>
      </w:pPr>
    </w:p>
    <w:p>
      <w:pPr>
        <w:shd w:val="clear" w:color="auto" w:fill="FFFFFF"/>
        <w:spacing w:before="100" w:after="240"/>
        <w:jc w:val="left"/>
        <w:rPr>
          <w:rFonts w:eastAsia="Times New Roman" w:cs="Times New Roman"/>
          <w:b/>
          <w:bCs/>
          <w:kern w:val="0"/>
          <w:sz w:val="24"/>
          <w:szCs w:val="24"/>
        </w:rPr>
      </w:pPr>
      <w:r>
        <w:rPr>
          <w:rFonts w:hint="eastAsia" w:ascii="宋体" w:hAnsi="宋体"/>
          <w:b/>
          <w:bCs/>
          <w:kern w:val="0"/>
          <w:sz w:val="24"/>
          <w:szCs w:val="24"/>
        </w:rPr>
        <w:t>四、一般公共预算</w:t>
      </w:r>
      <w:r>
        <w:rPr>
          <w:rFonts w:eastAsia="Times New Roman" w:cs="Times New Roman"/>
          <w:b/>
          <w:bCs/>
          <w:kern w:val="0"/>
          <w:sz w:val="24"/>
          <w:szCs w:val="24"/>
        </w:rPr>
        <w:t>“</w:t>
      </w:r>
      <w:r>
        <w:rPr>
          <w:rFonts w:hint="eastAsia" w:ascii="宋体" w:hAnsi="宋体"/>
          <w:b/>
          <w:bCs/>
          <w:kern w:val="0"/>
          <w:sz w:val="24"/>
          <w:szCs w:val="24"/>
        </w:rPr>
        <w:t>三公</w:t>
      </w:r>
      <w:r>
        <w:rPr>
          <w:rFonts w:eastAsia="Times New Roman" w:cs="Times New Roman"/>
          <w:b/>
          <w:bCs/>
          <w:kern w:val="0"/>
          <w:sz w:val="24"/>
          <w:szCs w:val="24"/>
        </w:rPr>
        <w:t>”</w:t>
      </w:r>
      <w:r>
        <w:rPr>
          <w:rFonts w:hint="eastAsia" w:ascii="宋体" w:hAnsi="宋体"/>
          <w:b/>
          <w:bCs/>
          <w:kern w:val="0"/>
          <w:sz w:val="24"/>
          <w:szCs w:val="24"/>
        </w:rPr>
        <w:t>经费支出情况</w:t>
      </w:r>
    </w:p>
    <w:p>
      <w:pPr>
        <w:shd w:val="clear" w:color="auto" w:fill="FFFFFF"/>
        <w:spacing w:before="100" w:line="520" w:lineRule="exact"/>
        <w:ind w:firstLine="480"/>
        <w:jc w:val="left"/>
        <w:rPr>
          <w:rFonts w:ascii="宋体"/>
          <w:kern w:val="0"/>
          <w:sz w:val="24"/>
          <w:szCs w:val="24"/>
        </w:rPr>
      </w:pPr>
      <w:r>
        <w:rPr>
          <w:rFonts w:ascii="宋体" w:hAnsi="宋体"/>
          <w:kern w:val="0"/>
          <w:sz w:val="24"/>
          <w:szCs w:val="24"/>
        </w:rPr>
        <w:t>2018</w:t>
      </w:r>
      <w:r>
        <w:rPr>
          <w:rFonts w:hint="eastAsia" w:ascii="宋体" w:hAnsi="宋体"/>
          <w:kern w:val="0"/>
          <w:sz w:val="24"/>
          <w:szCs w:val="24"/>
        </w:rPr>
        <w:t>年度，一般公共预算</w:t>
      </w:r>
      <w:r>
        <w:rPr>
          <w:rFonts w:hint="eastAsia" w:ascii="宋体"/>
          <w:kern w:val="0"/>
          <w:sz w:val="24"/>
          <w:szCs w:val="24"/>
        </w:rPr>
        <w:t>“</w:t>
      </w:r>
      <w:r>
        <w:rPr>
          <w:rFonts w:hint="eastAsia" w:ascii="宋体" w:hAnsi="宋体"/>
          <w:kern w:val="0"/>
          <w:sz w:val="24"/>
          <w:szCs w:val="24"/>
        </w:rPr>
        <w:t>三公</w:t>
      </w:r>
      <w:r>
        <w:rPr>
          <w:rFonts w:hint="eastAsia" w:ascii="宋体"/>
          <w:kern w:val="0"/>
          <w:sz w:val="24"/>
          <w:szCs w:val="24"/>
        </w:rPr>
        <w:t>”</w:t>
      </w:r>
      <w:r>
        <w:rPr>
          <w:rFonts w:hint="eastAsia" w:ascii="宋体" w:hAnsi="宋体"/>
          <w:kern w:val="0"/>
          <w:sz w:val="24"/>
          <w:szCs w:val="24"/>
        </w:rPr>
        <w:t>经费支出决算</w:t>
      </w:r>
      <w:r>
        <w:rPr>
          <w:rFonts w:ascii="宋体" w:hAnsi="宋体"/>
          <w:kern w:val="0"/>
          <w:sz w:val="24"/>
          <w:szCs w:val="24"/>
        </w:rPr>
        <w:t>2</w:t>
      </w:r>
      <w:r>
        <w:rPr>
          <w:rFonts w:hint="eastAsia" w:ascii="宋体" w:hAnsi="宋体"/>
          <w:kern w:val="0"/>
          <w:sz w:val="24"/>
          <w:szCs w:val="24"/>
        </w:rPr>
        <w:t>万元，比上年减少</w:t>
      </w:r>
      <w:r>
        <w:rPr>
          <w:rFonts w:ascii="宋体" w:hAnsi="宋体"/>
          <w:kern w:val="0"/>
          <w:sz w:val="24"/>
          <w:szCs w:val="24"/>
        </w:rPr>
        <w:t>1.29</w:t>
      </w:r>
      <w:r>
        <w:rPr>
          <w:rFonts w:hint="eastAsia" w:ascii="宋体" w:hAnsi="宋体"/>
          <w:kern w:val="0"/>
          <w:sz w:val="24"/>
          <w:szCs w:val="24"/>
        </w:rPr>
        <w:t>万元，降低</w:t>
      </w:r>
      <w:r>
        <w:rPr>
          <w:rFonts w:ascii="宋体" w:hAnsi="宋体"/>
          <w:kern w:val="0"/>
          <w:sz w:val="24"/>
          <w:szCs w:val="24"/>
        </w:rPr>
        <w:t>39.21%</w:t>
      </w:r>
      <w:r>
        <w:rPr>
          <w:rFonts w:hint="eastAsia" w:ascii="宋体" w:hAnsi="宋体"/>
          <w:kern w:val="0"/>
          <w:sz w:val="24"/>
          <w:szCs w:val="24"/>
        </w:rPr>
        <w:t>，减少原因是规范三公经费开支范围</w:t>
      </w:r>
      <w:r>
        <w:rPr>
          <w:rFonts w:ascii="宋体"/>
          <w:kern w:val="0"/>
          <w:sz w:val="24"/>
          <w:szCs w:val="24"/>
        </w:rPr>
        <w:t>,</w:t>
      </w:r>
      <w:r>
        <w:rPr>
          <w:rFonts w:hint="eastAsia" w:ascii="宋体" w:hAnsi="宋体"/>
          <w:kern w:val="0"/>
          <w:sz w:val="24"/>
          <w:szCs w:val="24"/>
        </w:rPr>
        <w:t>严格执行规定，减少公务接待，减少接待任务，提倡在机关食堂就餐。其中，因公出国（境）费支出</w:t>
      </w:r>
      <w:r>
        <w:rPr>
          <w:rFonts w:ascii="宋体"/>
          <w:kern w:val="0"/>
          <w:sz w:val="24"/>
          <w:szCs w:val="24"/>
        </w:rPr>
        <w:t>0</w:t>
      </w:r>
      <w:r>
        <w:rPr>
          <w:rFonts w:hint="eastAsia" w:ascii="宋体" w:hAnsi="宋体"/>
          <w:kern w:val="0"/>
          <w:sz w:val="24"/>
          <w:szCs w:val="24"/>
        </w:rPr>
        <w:t>万元，占</w:t>
      </w:r>
      <w:r>
        <w:rPr>
          <w:rFonts w:ascii="宋体" w:hAnsi="宋体"/>
          <w:kern w:val="0"/>
          <w:sz w:val="24"/>
          <w:szCs w:val="24"/>
        </w:rPr>
        <w:t>0%</w:t>
      </w:r>
      <w:r>
        <w:rPr>
          <w:rFonts w:hint="eastAsia" w:ascii="宋体" w:hAnsi="宋体"/>
          <w:kern w:val="0"/>
          <w:sz w:val="24"/>
          <w:szCs w:val="24"/>
        </w:rPr>
        <w:t>，比上年增加</w:t>
      </w:r>
      <w:r>
        <w:rPr>
          <w:rFonts w:ascii="宋体"/>
          <w:kern w:val="0"/>
          <w:sz w:val="24"/>
          <w:szCs w:val="24"/>
        </w:rPr>
        <w:t>0</w:t>
      </w:r>
      <w:r>
        <w:rPr>
          <w:rFonts w:hint="eastAsia" w:ascii="宋体" w:hAnsi="宋体"/>
          <w:kern w:val="0"/>
          <w:sz w:val="24"/>
          <w:szCs w:val="24"/>
        </w:rPr>
        <w:t>万元，增长</w:t>
      </w:r>
      <w:r>
        <w:rPr>
          <w:rFonts w:ascii="宋体" w:hAnsi="宋体"/>
          <w:kern w:val="0"/>
          <w:sz w:val="24"/>
          <w:szCs w:val="24"/>
        </w:rPr>
        <w:t>0%</w:t>
      </w:r>
      <w:r>
        <w:rPr>
          <w:rFonts w:hint="eastAsia" w:ascii="宋体" w:hAnsi="宋体"/>
          <w:kern w:val="0"/>
          <w:sz w:val="24"/>
          <w:szCs w:val="24"/>
        </w:rPr>
        <w:t>，增加原因是：本年无变化。公务用车购置及运行维护费支出</w:t>
      </w:r>
      <w:r>
        <w:rPr>
          <w:rFonts w:ascii="宋体"/>
          <w:kern w:val="0"/>
          <w:sz w:val="24"/>
          <w:szCs w:val="24"/>
        </w:rPr>
        <w:t>0</w:t>
      </w:r>
      <w:r>
        <w:rPr>
          <w:rFonts w:hint="eastAsia" w:ascii="宋体" w:hAnsi="宋体"/>
          <w:kern w:val="0"/>
          <w:sz w:val="24"/>
          <w:szCs w:val="24"/>
        </w:rPr>
        <w:t>万元，占</w:t>
      </w:r>
      <w:r>
        <w:rPr>
          <w:rFonts w:ascii="宋体" w:hAnsi="宋体"/>
          <w:kern w:val="0"/>
          <w:sz w:val="24"/>
          <w:szCs w:val="24"/>
        </w:rPr>
        <w:t>0%</w:t>
      </w:r>
      <w:r>
        <w:rPr>
          <w:rFonts w:hint="eastAsia" w:ascii="宋体" w:hAnsi="宋体"/>
          <w:kern w:val="0"/>
          <w:sz w:val="24"/>
          <w:szCs w:val="24"/>
        </w:rPr>
        <w:t>，比上年增加</w:t>
      </w:r>
      <w:r>
        <w:rPr>
          <w:rFonts w:ascii="宋体"/>
          <w:kern w:val="0"/>
          <w:sz w:val="24"/>
          <w:szCs w:val="24"/>
        </w:rPr>
        <w:t>0</w:t>
      </w:r>
      <w:r>
        <w:rPr>
          <w:rFonts w:hint="eastAsia" w:ascii="宋体" w:hAnsi="宋体"/>
          <w:kern w:val="0"/>
          <w:sz w:val="24"/>
          <w:szCs w:val="24"/>
        </w:rPr>
        <w:t>万元，增长</w:t>
      </w:r>
      <w:r>
        <w:rPr>
          <w:rFonts w:ascii="宋体" w:hAnsi="宋体"/>
          <w:kern w:val="0"/>
          <w:sz w:val="24"/>
          <w:szCs w:val="24"/>
        </w:rPr>
        <w:t>0%，</w:t>
      </w:r>
      <w:r>
        <w:rPr>
          <w:rFonts w:hint="eastAsia" w:ascii="宋体" w:hAnsi="宋体"/>
          <w:kern w:val="0"/>
          <w:sz w:val="24"/>
          <w:szCs w:val="24"/>
        </w:rPr>
        <w:t>增加原因是：本年无变化。公务接待费支出</w:t>
      </w:r>
      <w:r>
        <w:rPr>
          <w:rFonts w:ascii="宋体" w:hAnsi="宋体"/>
          <w:kern w:val="0"/>
          <w:sz w:val="24"/>
          <w:szCs w:val="24"/>
        </w:rPr>
        <w:t>2</w:t>
      </w:r>
      <w:r>
        <w:rPr>
          <w:rFonts w:hint="eastAsia" w:ascii="宋体" w:hAnsi="宋体"/>
          <w:kern w:val="0"/>
          <w:sz w:val="24"/>
          <w:szCs w:val="24"/>
        </w:rPr>
        <w:t>万元，比上年减少</w:t>
      </w:r>
      <w:r>
        <w:rPr>
          <w:rFonts w:ascii="宋体" w:hAnsi="宋体"/>
          <w:kern w:val="0"/>
          <w:sz w:val="24"/>
          <w:szCs w:val="24"/>
        </w:rPr>
        <w:t>1.29</w:t>
      </w:r>
      <w:r>
        <w:rPr>
          <w:rFonts w:hint="eastAsia" w:ascii="宋体" w:hAnsi="宋体"/>
          <w:kern w:val="0"/>
          <w:sz w:val="24"/>
          <w:szCs w:val="24"/>
        </w:rPr>
        <w:t>万元，降低</w:t>
      </w:r>
      <w:r>
        <w:rPr>
          <w:rFonts w:ascii="宋体" w:hAnsi="宋体"/>
          <w:kern w:val="0"/>
          <w:sz w:val="24"/>
          <w:szCs w:val="24"/>
        </w:rPr>
        <w:t>39.21%</w:t>
      </w:r>
      <w:r>
        <w:rPr>
          <w:rFonts w:hint="eastAsia" w:ascii="宋体" w:hAnsi="宋体"/>
          <w:kern w:val="0"/>
          <w:sz w:val="24"/>
          <w:szCs w:val="24"/>
        </w:rPr>
        <w:t>，减少原因是规范三公经费开支范围</w:t>
      </w:r>
      <w:r>
        <w:rPr>
          <w:rFonts w:ascii="宋体"/>
          <w:kern w:val="0"/>
          <w:sz w:val="24"/>
          <w:szCs w:val="24"/>
        </w:rPr>
        <w:t>,</w:t>
      </w:r>
      <w:r>
        <w:rPr>
          <w:rFonts w:hint="eastAsia" w:ascii="宋体" w:hAnsi="宋体"/>
          <w:kern w:val="0"/>
          <w:sz w:val="24"/>
          <w:szCs w:val="24"/>
        </w:rPr>
        <w:t>严格执行规定，减少公务接待，减少接待任务，提倡在机关食堂就餐；具体情况如下：</w:t>
      </w:r>
    </w:p>
    <w:p>
      <w:pPr>
        <w:shd w:val="clear" w:color="auto" w:fill="FFFFFF"/>
        <w:spacing w:before="100" w:line="520" w:lineRule="exact"/>
        <w:ind w:firstLine="480"/>
        <w:rPr>
          <w:rFonts w:ascii="宋体"/>
          <w:kern w:val="0"/>
          <w:sz w:val="24"/>
          <w:szCs w:val="24"/>
        </w:rPr>
      </w:pPr>
      <w:r>
        <w:rPr>
          <w:rFonts w:hint="eastAsia" w:ascii="宋体" w:hAnsi="宋体"/>
          <w:kern w:val="0"/>
          <w:sz w:val="24"/>
          <w:szCs w:val="24"/>
        </w:rPr>
        <w:t>因公出国（境）费支出</w:t>
      </w:r>
      <w:r>
        <w:rPr>
          <w:rFonts w:ascii="宋体"/>
          <w:kern w:val="0"/>
          <w:sz w:val="24"/>
          <w:szCs w:val="24"/>
        </w:rPr>
        <w:t>0</w:t>
      </w:r>
      <w:r>
        <w:rPr>
          <w:rFonts w:hint="eastAsia" w:ascii="宋体" w:hAnsi="宋体"/>
          <w:kern w:val="0"/>
          <w:sz w:val="24"/>
          <w:szCs w:val="24"/>
        </w:rPr>
        <w:t>万元，新疆昌吉玛纳斯县财政局单位全年使用一般公共预算财政拨款安排的出国（境）团组</w:t>
      </w:r>
      <w:r>
        <w:rPr>
          <w:rFonts w:ascii="宋体"/>
          <w:kern w:val="0"/>
          <w:sz w:val="24"/>
          <w:szCs w:val="24"/>
        </w:rPr>
        <w:t>0</w:t>
      </w:r>
      <w:r>
        <w:rPr>
          <w:rFonts w:hint="eastAsia" w:ascii="宋体" w:hAnsi="宋体"/>
          <w:kern w:val="0"/>
          <w:sz w:val="24"/>
          <w:szCs w:val="24"/>
        </w:rPr>
        <w:t>积</w:t>
      </w:r>
      <w:r>
        <w:rPr>
          <w:rFonts w:ascii="宋体"/>
          <w:kern w:val="0"/>
          <w:sz w:val="24"/>
          <w:szCs w:val="24"/>
        </w:rPr>
        <w:t>0</w:t>
      </w:r>
      <w:r>
        <w:rPr>
          <w:rFonts w:hint="eastAsia" w:ascii="宋体" w:hAnsi="宋体"/>
          <w:kern w:val="0"/>
          <w:sz w:val="24"/>
          <w:szCs w:val="24"/>
        </w:rPr>
        <w:t>人次，开支内容包括：本年度无因公出国（境）费支出。</w:t>
      </w:r>
    </w:p>
    <w:p>
      <w:pPr>
        <w:shd w:val="clear" w:color="auto" w:fill="FFFFFF"/>
        <w:spacing w:before="100" w:line="520" w:lineRule="exact"/>
        <w:ind w:firstLine="480"/>
        <w:rPr>
          <w:rFonts w:eastAsia="Times New Roman" w:cs="Times New Roman"/>
          <w:kern w:val="0"/>
          <w:sz w:val="24"/>
          <w:szCs w:val="24"/>
        </w:rPr>
      </w:pPr>
      <w:r>
        <w:rPr>
          <w:rFonts w:hint="eastAsia" w:ascii="宋体" w:hAnsi="宋体"/>
          <w:kern w:val="0"/>
          <w:sz w:val="24"/>
          <w:szCs w:val="24"/>
        </w:rPr>
        <w:t>公务用车购置及运行维护费</w:t>
      </w:r>
      <w:r>
        <w:rPr>
          <w:rFonts w:ascii="宋体"/>
          <w:kern w:val="0"/>
          <w:sz w:val="24"/>
          <w:szCs w:val="24"/>
        </w:rPr>
        <w:t>0</w:t>
      </w:r>
      <w:r>
        <w:rPr>
          <w:rFonts w:hint="eastAsia" w:ascii="宋体" w:hAnsi="宋体"/>
          <w:kern w:val="0"/>
          <w:sz w:val="24"/>
          <w:szCs w:val="24"/>
        </w:rPr>
        <w:t>万元，其中，公务用车购置</w:t>
      </w:r>
      <w:r>
        <w:rPr>
          <w:rFonts w:ascii="宋体"/>
          <w:kern w:val="0"/>
          <w:sz w:val="24"/>
          <w:szCs w:val="24"/>
        </w:rPr>
        <w:t>0</w:t>
      </w:r>
      <w:r>
        <w:rPr>
          <w:rFonts w:hint="eastAsia" w:ascii="宋体" w:hAnsi="宋体"/>
          <w:kern w:val="0"/>
          <w:sz w:val="24"/>
          <w:szCs w:val="24"/>
        </w:rPr>
        <w:t>万元，公务用车运行维护费</w:t>
      </w:r>
      <w:r>
        <w:rPr>
          <w:rFonts w:ascii="宋体"/>
          <w:kern w:val="0"/>
          <w:sz w:val="24"/>
          <w:szCs w:val="24"/>
        </w:rPr>
        <w:t>0</w:t>
      </w:r>
      <w:r>
        <w:rPr>
          <w:rFonts w:hint="eastAsia" w:ascii="宋体" w:hAnsi="宋体"/>
          <w:kern w:val="0"/>
          <w:sz w:val="24"/>
          <w:szCs w:val="24"/>
        </w:rPr>
        <w:t>万元。主要用于：本年度无公务用车购置及运行维护费。</w:t>
      </w:r>
      <w:r>
        <w:rPr>
          <w:rFonts w:ascii="宋体" w:hAnsi="宋体"/>
          <w:kern w:val="0"/>
          <w:sz w:val="24"/>
          <w:szCs w:val="24"/>
        </w:rPr>
        <w:t>2018</w:t>
      </w:r>
      <w:r>
        <w:rPr>
          <w:rFonts w:hint="eastAsia" w:ascii="宋体" w:hAnsi="宋体"/>
          <w:kern w:val="0"/>
          <w:sz w:val="24"/>
          <w:szCs w:val="24"/>
        </w:rPr>
        <w:t>年，单位一般公共财政拨款安排的公务用车购置量</w:t>
      </w:r>
      <w:r>
        <w:rPr>
          <w:rFonts w:ascii="宋体"/>
          <w:kern w:val="0"/>
          <w:sz w:val="24"/>
          <w:szCs w:val="24"/>
        </w:rPr>
        <w:t>0</w:t>
      </w:r>
      <w:r>
        <w:rPr>
          <w:rFonts w:hint="eastAsia" w:ascii="宋体" w:hAnsi="宋体"/>
          <w:kern w:val="0"/>
          <w:sz w:val="24"/>
          <w:szCs w:val="24"/>
        </w:rPr>
        <w:t>辆，保有量为</w:t>
      </w:r>
      <w:r>
        <w:rPr>
          <w:rFonts w:ascii="宋体"/>
          <w:kern w:val="0"/>
          <w:sz w:val="24"/>
          <w:szCs w:val="24"/>
        </w:rPr>
        <w:t>0</w:t>
      </w:r>
      <w:r>
        <w:rPr>
          <w:rFonts w:hint="eastAsia" w:ascii="宋体" w:hAnsi="宋体"/>
          <w:kern w:val="0"/>
          <w:sz w:val="24"/>
          <w:szCs w:val="24"/>
        </w:rPr>
        <w:t>辆。</w:t>
      </w:r>
    </w:p>
    <w:p>
      <w:pPr>
        <w:shd w:val="clear" w:color="auto" w:fill="FFFFFF"/>
        <w:spacing w:before="100" w:line="520" w:lineRule="exact"/>
        <w:ind w:firstLine="480"/>
        <w:rPr>
          <w:rFonts w:ascii="宋体"/>
          <w:kern w:val="0"/>
          <w:sz w:val="24"/>
          <w:szCs w:val="24"/>
        </w:rPr>
      </w:pPr>
      <w:r>
        <w:rPr>
          <w:rFonts w:hint="eastAsia" w:ascii="宋体" w:hAnsi="宋体"/>
          <w:kern w:val="0"/>
          <w:sz w:val="24"/>
          <w:szCs w:val="24"/>
        </w:rPr>
        <w:t>公务接待费</w:t>
      </w:r>
      <w:r>
        <w:rPr>
          <w:rFonts w:ascii="宋体" w:hAnsi="宋体"/>
          <w:kern w:val="0"/>
          <w:sz w:val="24"/>
          <w:szCs w:val="24"/>
        </w:rPr>
        <w:t>2</w:t>
      </w:r>
      <w:r>
        <w:rPr>
          <w:rFonts w:hint="eastAsia" w:ascii="宋体" w:hAnsi="宋体"/>
          <w:kern w:val="0"/>
          <w:sz w:val="24"/>
          <w:szCs w:val="24"/>
        </w:rPr>
        <w:t>万元。具体是：国内公务接待支出</w:t>
      </w:r>
      <w:r>
        <w:rPr>
          <w:rFonts w:ascii="宋体" w:hAnsi="宋体"/>
          <w:kern w:val="0"/>
          <w:sz w:val="24"/>
          <w:szCs w:val="24"/>
        </w:rPr>
        <w:t>2</w:t>
      </w:r>
      <w:r>
        <w:rPr>
          <w:rFonts w:hint="eastAsia" w:ascii="宋体" w:hAnsi="宋体"/>
          <w:kern w:val="0"/>
          <w:sz w:val="24"/>
          <w:szCs w:val="24"/>
        </w:rPr>
        <w:t>万元，主要是加班及迎接检查工作餐等。新疆昌吉玛纳斯县财政局单位国内公务接待</w:t>
      </w:r>
      <w:r>
        <w:rPr>
          <w:rFonts w:ascii="宋体" w:hAnsi="宋体"/>
          <w:kern w:val="0"/>
          <w:sz w:val="24"/>
          <w:szCs w:val="24"/>
        </w:rPr>
        <w:t>50</w:t>
      </w:r>
      <w:r>
        <w:rPr>
          <w:rFonts w:hint="eastAsia" w:ascii="宋体" w:hAnsi="宋体"/>
          <w:kern w:val="0"/>
          <w:sz w:val="24"/>
          <w:szCs w:val="24"/>
        </w:rPr>
        <w:t>批次，</w:t>
      </w:r>
      <w:r>
        <w:rPr>
          <w:rFonts w:ascii="宋体" w:hAnsi="宋体"/>
          <w:kern w:val="0"/>
          <w:sz w:val="24"/>
          <w:szCs w:val="24"/>
        </w:rPr>
        <w:t>410</w:t>
      </w:r>
      <w:r>
        <w:rPr>
          <w:rFonts w:hint="eastAsia" w:ascii="宋体" w:hAnsi="宋体"/>
          <w:kern w:val="0"/>
          <w:sz w:val="24"/>
          <w:szCs w:val="24"/>
        </w:rPr>
        <w:t>人次。</w:t>
      </w:r>
    </w:p>
    <w:p>
      <w:pPr>
        <w:shd w:val="clear" w:color="auto" w:fill="FFFFFF"/>
        <w:spacing w:before="100" w:line="520" w:lineRule="exact"/>
        <w:ind w:firstLine="480" w:firstLineChars="200"/>
        <w:rPr>
          <w:kern w:val="0"/>
          <w:sz w:val="24"/>
          <w:szCs w:val="24"/>
        </w:rPr>
      </w:pPr>
      <w:r>
        <w:rPr>
          <w:rFonts w:hint="eastAsia" w:ascii="宋体" w:hAnsi="宋体"/>
          <w:kern w:val="0"/>
          <w:sz w:val="24"/>
          <w:szCs w:val="24"/>
        </w:rPr>
        <w:t>与年初预算数相比情况</w:t>
      </w:r>
      <w:r>
        <w:rPr>
          <w:rFonts w:ascii="宋体" w:hAnsi="宋体"/>
          <w:kern w:val="0"/>
          <w:sz w:val="24"/>
          <w:szCs w:val="24"/>
        </w:rPr>
        <w:t xml:space="preserve">: </w:t>
      </w:r>
      <w:r>
        <w:rPr>
          <w:rFonts w:hint="eastAsia" w:ascii="宋体" w:hAnsi="宋体"/>
          <w:kern w:val="0"/>
          <w:sz w:val="24"/>
          <w:szCs w:val="24"/>
        </w:rPr>
        <w:t>一般公共预算“三公”经费支出年初预算数</w:t>
      </w:r>
      <w:r>
        <w:rPr>
          <w:rFonts w:ascii="宋体" w:hAnsi="宋体"/>
          <w:kern w:val="0"/>
          <w:sz w:val="24"/>
          <w:szCs w:val="24"/>
        </w:rPr>
        <w:t>5.61</w:t>
      </w:r>
      <w:r>
        <w:rPr>
          <w:rFonts w:hint="eastAsia" w:ascii="宋体" w:hAnsi="宋体"/>
          <w:kern w:val="0"/>
          <w:sz w:val="24"/>
          <w:szCs w:val="24"/>
        </w:rPr>
        <w:t>万元，决算数</w:t>
      </w:r>
      <w:r>
        <w:rPr>
          <w:rFonts w:ascii="宋体" w:hAnsi="宋体"/>
          <w:kern w:val="0"/>
          <w:sz w:val="24"/>
          <w:szCs w:val="24"/>
        </w:rPr>
        <w:t>2</w:t>
      </w:r>
      <w:r>
        <w:rPr>
          <w:rFonts w:hint="eastAsia" w:ascii="宋体" w:hAnsi="宋体"/>
          <w:kern w:val="0"/>
          <w:sz w:val="24"/>
          <w:szCs w:val="24"/>
        </w:rPr>
        <w:t>万元，预决算差异率</w:t>
      </w:r>
      <w:r>
        <w:rPr>
          <w:rFonts w:ascii="宋体"/>
          <w:kern w:val="0"/>
          <w:sz w:val="24"/>
          <w:szCs w:val="24"/>
        </w:rPr>
        <w:t>-</w:t>
      </w:r>
      <w:r>
        <w:rPr>
          <w:rFonts w:ascii="宋体" w:hAnsi="宋体"/>
          <w:kern w:val="0"/>
          <w:sz w:val="24"/>
          <w:szCs w:val="24"/>
        </w:rPr>
        <w:t>64.35%</w:t>
      </w:r>
      <w:r>
        <w:rPr>
          <w:rFonts w:hint="eastAsia" w:ascii="宋体" w:hAnsi="宋体"/>
          <w:kern w:val="0"/>
          <w:sz w:val="24"/>
          <w:szCs w:val="24"/>
        </w:rPr>
        <w:t>，差异主要原因规范三公经费开支范围</w:t>
      </w:r>
      <w:r>
        <w:rPr>
          <w:kern w:val="0"/>
          <w:sz w:val="24"/>
          <w:szCs w:val="24"/>
        </w:rPr>
        <w:t xml:space="preserve">, </w:t>
      </w:r>
      <w:r>
        <w:rPr>
          <w:rFonts w:hint="eastAsia" w:ascii="宋体" w:hAnsi="宋体"/>
          <w:kern w:val="0"/>
          <w:sz w:val="24"/>
          <w:szCs w:val="24"/>
        </w:rPr>
        <w:t>严格执行规定，减少公务接待，减少接待任务，提倡在机关食堂就餐。其中：因公出国（境）费支出预算数</w:t>
      </w:r>
      <w:r>
        <w:rPr>
          <w:kern w:val="0"/>
          <w:sz w:val="24"/>
          <w:szCs w:val="24"/>
        </w:rPr>
        <w:t>0</w:t>
      </w:r>
      <w:r>
        <w:rPr>
          <w:rFonts w:hint="eastAsia" w:ascii="宋体" w:hAnsi="宋体"/>
          <w:kern w:val="0"/>
          <w:sz w:val="24"/>
          <w:szCs w:val="24"/>
        </w:rPr>
        <w:t>万元，决算数</w:t>
      </w:r>
      <w:r>
        <w:rPr>
          <w:kern w:val="0"/>
          <w:sz w:val="24"/>
          <w:szCs w:val="24"/>
        </w:rPr>
        <w:t>0</w:t>
      </w:r>
      <w:r>
        <w:rPr>
          <w:rFonts w:hint="eastAsia" w:ascii="宋体" w:hAnsi="宋体"/>
          <w:kern w:val="0"/>
          <w:sz w:val="24"/>
          <w:szCs w:val="24"/>
        </w:rPr>
        <w:t>万元，预决算差异率</w:t>
      </w:r>
      <w:r>
        <w:rPr>
          <w:rFonts w:ascii="宋体" w:hAnsi="宋体"/>
          <w:kern w:val="0"/>
          <w:sz w:val="24"/>
          <w:szCs w:val="24"/>
        </w:rPr>
        <w:t>0%</w:t>
      </w:r>
      <w:r>
        <w:rPr>
          <w:rFonts w:hint="eastAsia" w:ascii="宋体" w:hAnsi="宋体"/>
          <w:kern w:val="0"/>
          <w:sz w:val="24"/>
          <w:szCs w:val="24"/>
        </w:rPr>
        <w:t>，差异主要原因本年无变化；公务用车购置预算数</w:t>
      </w:r>
      <w:r>
        <w:rPr>
          <w:kern w:val="0"/>
          <w:sz w:val="24"/>
          <w:szCs w:val="24"/>
        </w:rPr>
        <w:t>0</w:t>
      </w:r>
      <w:r>
        <w:rPr>
          <w:rFonts w:hint="eastAsia" w:ascii="宋体" w:hAnsi="宋体"/>
          <w:kern w:val="0"/>
          <w:sz w:val="24"/>
          <w:szCs w:val="24"/>
        </w:rPr>
        <w:t>万元，决算数</w:t>
      </w:r>
      <w:r>
        <w:rPr>
          <w:kern w:val="0"/>
          <w:sz w:val="24"/>
          <w:szCs w:val="24"/>
        </w:rPr>
        <w:t>0</w:t>
      </w:r>
      <w:r>
        <w:rPr>
          <w:rFonts w:hint="eastAsia" w:ascii="宋体" w:hAnsi="宋体"/>
          <w:kern w:val="0"/>
          <w:sz w:val="24"/>
          <w:szCs w:val="24"/>
        </w:rPr>
        <w:t>万元，预决算差异率</w:t>
      </w:r>
      <w:r>
        <w:rPr>
          <w:rFonts w:ascii="宋体" w:hAnsi="宋体"/>
          <w:kern w:val="0"/>
          <w:sz w:val="24"/>
          <w:szCs w:val="24"/>
        </w:rPr>
        <w:t>0%</w:t>
      </w:r>
      <w:r>
        <w:rPr>
          <w:rFonts w:hint="eastAsia" w:ascii="宋体" w:hAnsi="宋体"/>
          <w:kern w:val="0"/>
          <w:sz w:val="24"/>
          <w:szCs w:val="24"/>
        </w:rPr>
        <w:t>，差异主要原因本年无变化；公务用车运行费预算数</w:t>
      </w:r>
      <w:r>
        <w:rPr>
          <w:rFonts w:ascii="宋体" w:hAnsi="宋体"/>
          <w:kern w:val="0"/>
          <w:sz w:val="24"/>
          <w:szCs w:val="24"/>
        </w:rPr>
        <w:t>3.61</w:t>
      </w:r>
      <w:r>
        <w:rPr>
          <w:rFonts w:hint="eastAsia" w:ascii="宋体" w:hAnsi="宋体"/>
          <w:kern w:val="0"/>
          <w:sz w:val="24"/>
          <w:szCs w:val="24"/>
        </w:rPr>
        <w:t>万元，决算数</w:t>
      </w:r>
      <w:r>
        <w:rPr>
          <w:kern w:val="0"/>
          <w:sz w:val="24"/>
          <w:szCs w:val="24"/>
        </w:rPr>
        <w:t>0</w:t>
      </w:r>
      <w:r>
        <w:rPr>
          <w:rFonts w:hint="eastAsia" w:ascii="宋体" w:hAnsi="宋体"/>
          <w:kern w:val="0"/>
          <w:sz w:val="24"/>
          <w:szCs w:val="24"/>
        </w:rPr>
        <w:t>万元，预决算差异率</w:t>
      </w:r>
      <w:r>
        <w:rPr>
          <w:rFonts w:ascii="宋体" w:hAnsi="宋体"/>
          <w:kern w:val="0"/>
          <w:sz w:val="24"/>
          <w:szCs w:val="24"/>
        </w:rPr>
        <w:t>100%</w:t>
      </w:r>
      <w:r>
        <w:rPr>
          <w:rFonts w:hint="eastAsia" w:ascii="宋体" w:hAnsi="宋体"/>
          <w:kern w:val="0"/>
          <w:sz w:val="24"/>
          <w:szCs w:val="24"/>
        </w:rPr>
        <w:t>，差异主要原因是本单位严格控制三公经费支出，严格控制车辆使用，减少公车使用，压缩公车费用。在节假日严格执行公务车辆封存备案制度，规范和控制公务用车维修、用油行为，最大限度提高单车使用效率，减少公车运行费用；公务接待费预算数</w:t>
      </w:r>
      <w:r>
        <w:rPr>
          <w:rFonts w:ascii="宋体" w:hAnsi="宋体"/>
          <w:kern w:val="0"/>
          <w:sz w:val="24"/>
          <w:szCs w:val="24"/>
        </w:rPr>
        <w:t>2</w:t>
      </w:r>
      <w:r>
        <w:rPr>
          <w:rFonts w:hint="eastAsia" w:ascii="宋体" w:hAnsi="宋体"/>
          <w:kern w:val="0"/>
          <w:sz w:val="24"/>
          <w:szCs w:val="24"/>
        </w:rPr>
        <w:t>万元，决算数</w:t>
      </w:r>
      <w:r>
        <w:rPr>
          <w:rFonts w:ascii="宋体" w:hAnsi="宋体"/>
          <w:kern w:val="0"/>
          <w:sz w:val="24"/>
          <w:szCs w:val="24"/>
        </w:rPr>
        <w:t>2</w:t>
      </w:r>
      <w:r>
        <w:rPr>
          <w:rFonts w:hint="eastAsia" w:ascii="宋体" w:hAnsi="宋体"/>
          <w:kern w:val="0"/>
          <w:sz w:val="24"/>
          <w:szCs w:val="24"/>
        </w:rPr>
        <w:t>万元，预决算差异率</w:t>
      </w:r>
      <w:r>
        <w:rPr>
          <w:rFonts w:ascii="宋体" w:hAnsi="宋体"/>
          <w:kern w:val="0"/>
          <w:sz w:val="24"/>
          <w:szCs w:val="24"/>
        </w:rPr>
        <w:t>0%</w:t>
      </w:r>
      <w:r>
        <w:rPr>
          <w:rFonts w:hint="eastAsia" w:ascii="宋体" w:hAnsi="宋体"/>
          <w:kern w:val="0"/>
          <w:sz w:val="24"/>
          <w:szCs w:val="24"/>
        </w:rPr>
        <w:t>，差异主要原因是：本年度公务接待费与年初预算数相比无变化。</w:t>
      </w:r>
    </w:p>
    <w:p>
      <w:pPr>
        <w:shd w:val="clear" w:color="auto" w:fill="FFFFFF"/>
        <w:spacing w:before="100" w:line="520" w:lineRule="exact"/>
        <w:ind w:firstLine="480"/>
        <w:rPr>
          <w:kern w:val="0"/>
          <w:sz w:val="24"/>
          <w:szCs w:val="24"/>
        </w:rPr>
      </w:pPr>
    </w:p>
    <w:p>
      <w:pPr>
        <w:shd w:val="clear" w:color="auto" w:fill="FFFFFF"/>
        <w:spacing w:before="100" w:after="240"/>
        <w:jc w:val="left"/>
        <w:rPr>
          <w:rFonts w:ascii="宋体"/>
          <w:color w:val="0000FF"/>
          <w:kern w:val="0"/>
          <w:sz w:val="24"/>
          <w:szCs w:val="24"/>
        </w:rPr>
      </w:pPr>
      <w:r>
        <w:rPr>
          <w:rFonts w:hint="eastAsia" w:ascii="宋体" w:hAnsi="宋体"/>
          <w:b/>
          <w:bCs/>
          <w:kern w:val="0"/>
          <w:sz w:val="24"/>
          <w:szCs w:val="24"/>
        </w:rPr>
        <w:t>五、机关运行经费支出情况</w:t>
      </w:r>
    </w:p>
    <w:p>
      <w:pPr>
        <w:shd w:val="clear" w:color="auto" w:fill="FFFFFF"/>
        <w:spacing w:before="100" w:line="520" w:lineRule="exact"/>
        <w:ind w:firstLine="480" w:firstLineChars="200"/>
        <w:jc w:val="left"/>
        <w:rPr>
          <w:kern w:val="0"/>
          <w:sz w:val="24"/>
          <w:szCs w:val="24"/>
        </w:rPr>
      </w:pPr>
      <w:r>
        <w:rPr>
          <w:rFonts w:ascii="宋体" w:hAnsi="宋体"/>
          <w:kern w:val="0"/>
          <w:sz w:val="24"/>
          <w:szCs w:val="24"/>
        </w:rPr>
        <w:t>2018</w:t>
      </w:r>
      <w:r>
        <w:rPr>
          <w:rFonts w:hint="eastAsia" w:ascii="宋体" w:hAnsi="宋体"/>
          <w:kern w:val="0"/>
          <w:sz w:val="24"/>
          <w:szCs w:val="24"/>
        </w:rPr>
        <w:t>年度新疆昌吉玛纳斯县财政局机关运行经费支出</w:t>
      </w:r>
      <w:r>
        <w:rPr>
          <w:rFonts w:ascii="宋体" w:hAnsi="宋体"/>
          <w:kern w:val="0"/>
          <w:sz w:val="24"/>
          <w:szCs w:val="24"/>
        </w:rPr>
        <w:t>213.35</w:t>
      </w:r>
      <w:r>
        <w:rPr>
          <w:rFonts w:hint="eastAsia" w:ascii="宋体" w:hAnsi="宋体"/>
          <w:kern w:val="0"/>
          <w:sz w:val="24"/>
          <w:szCs w:val="24"/>
        </w:rPr>
        <w:t>万元，比上年增加</w:t>
      </w:r>
      <w:r>
        <w:rPr>
          <w:rFonts w:ascii="宋体" w:hAnsi="宋体"/>
          <w:kern w:val="0"/>
          <w:sz w:val="24"/>
          <w:szCs w:val="24"/>
        </w:rPr>
        <w:t>82.76</w:t>
      </w:r>
      <w:r>
        <w:rPr>
          <w:rFonts w:hint="eastAsia" w:ascii="宋体" w:hAnsi="宋体"/>
          <w:kern w:val="0"/>
          <w:sz w:val="24"/>
          <w:szCs w:val="24"/>
        </w:rPr>
        <w:t>万元，增长</w:t>
      </w:r>
      <w:r>
        <w:rPr>
          <w:rFonts w:ascii="宋体" w:hAnsi="宋体"/>
          <w:kern w:val="0"/>
          <w:sz w:val="24"/>
          <w:szCs w:val="24"/>
        </w:rPr>
        <w:t>63.38%</w:t>
      </w:r>
      <w:r>
        <w:rPr>
          <w:rFonts w:hint="eastAsia" w:ascii="宋体" w:hAnsi="宋体"/>
          <w:kern w:val="0"/>
          <w:sz w:val="24"/>
          <w:szCs w:val="24"/>
        </w:rPr>
        <w:t>。主要原因是印刷费增加</w:t>
      </w:r>
      <w:r>
        <w:rPr>
          <w:rFonts w:ascii="宋体" w:hAnsi="宋体"/>
          <w:kern w:val="0"/>
          <w:sz w:val="24"/>
          <w:szCs w:val="24"/>
        </w:rPr>
        <w:t>4.9</w:t>
      </w:r>
      <w:r>
        <w:rPr>
          <w:rFonts w:hint="eastAsia" w:ascii="宋体" w:hAnsi="宋体"/>
          <w:kern w:val="0"/>
          <w:sz w:val="24"/>
          <w:szCs w:val="24"/>
        </w:rPr>
        <w:t>万元，委托业务费增加</w:t>
      </w:r>
      <w:r>
        <w:rPr>
          <w:rFonts w:ascii="宋体" w:hAnsi="宋体"/>
          <w:kern w:val="0"/>
          <w:sz w:val="24"/>
          <w:szCs w:val="24"/>
        </w:rPr>
        <w:t xml:space="preserve"> 34</w:t>
      </w:r>
      <w:r>
        <w:rPr>
          <w:rFonts w:hint="eastAsia" w:ascii="宋体" w:hAnsi="宋体"/>
          <w:kern w:val="0"/>
          <w:sz w:val="24"/>
          <w:szCs w:val="24"/>
        </w:rPr>
        <w:t>万元，搬迁办公楼维修用材料增加</w:t>
      </w:r>
      <w:r>
        <w:rPr>
          <w:rFonts w:ascii="宋体" w:hAnsi="宋体"/>
          <w:kern w:val="0"/>
          <w:sz w:val="24"/>
          <w:szCs w:val="24"/>
        </w:rPr>
        <w:t>30.5</w:t>
      </w:r>
      <w:r>
        <w:rPr>
          <w:rFonts w:hint="eastAsia" w:ascii="宋体" w:hAnsi="宋体"/>
          <w:kern w:val="0"/>
          <w:sz w:val="24"/>
          <w:szCs w:val="24"/>
        </w:rPr>
        <w:t>万元等。</w:t>
      </w:r>
    </w:p>
    <w:p>
      <w:pPr>
        <w:shd w:val="clear" w:color="auto" w:fill="FFFFFF"/>
        <w:spacing w:before="100" w:line="520" w:lineRule="exact"/>
        <w:ind w:firstLine="480" w:firstLineChars="200"/>
        <w:jc w:val="left"/>
        <w:rPr>
          <w:kern w:val="0"/>
          <w:sz w:val="24"/>
          <w:szCs w:val="24"/>
        </w:rPr>
      </w:pPr>
    </w:p>
    <w:p>
      <w:pPr>
        <w:shd w:val="clear" w:color="auto" w:fill="FFFFFF"/>
        <w:spacing w:before="100" w:after="240"/>
        <w:jc w:val="left"/>
        <w:rPr>
          <w:rFonts w:eastAsia="Times New Roman" w:cs="Times New Roman"/>
          <w:b/>
          <w:bCs/>
          <w:kern w:val="0"/>
          <w:sz w:val="24"/>
          <w:szCs w:val="24"/>
        </w:rPr>
      </w:pPr>
      <w:r>
        <w:rPr>
          <w:rFonts w:hint="eastAsia" w:ascii="宋体" w:hAnsi="宋体"/>
          <w:b/>
          <w:bCs/>
          <w:kern w:val="0"/>
          <w:sz w:val="24"/>
          <w:szCs w:val="24"/>
        </w:rPr>
        <w:t>六、政府采购情况</w:t>
      </w:r>
    </w:p>
    <w:p>
      <w:pPr>
        <w:shd w:val="clear" w:color="auto" w:fill="FFFFFF"/>
        <w:spacing w:before="100" w:line="520" w:lineRule="exact"/>
        <w:ind w:firstLine="480"/>
        <w:rPr>
          <w:rFonts w:eastAsia="Times New Roman" w:cs="Times New Roman"/>
          <w:kern w:val="0"/>
          <w:sz w:val="24"/>
          <w:szCs w:val="24"/>
        </w:rPr>
      </w:pPr>
      <w:r>
        <w:rPr>
          <w:rFonts w:hint="eastAsia" w:ascii="宋体" w:hAnsi="宋体"/>
          <w:kern w:val="0"/>
          <w:sz w:val="24"/>
          <w:szCs w:val="24"/>
        </w:rPr>
        <w:t>新疆昌吉玛纳斯县财政局单位</w:t>
      </w:r>
      <w:r>
        <w:rPr>
          <w:rFonts w:ascii="宋体" w:hAnsi="宋体"/>
          <w:kern w:val="0"/>
          <w:sz w:val="24"/>
          <w:szCs w:val="24"/>
        </w:rPr>
        <w:t>2018</w:t>
      </w:r>
      <w:r>
        <w:rPr>
          <w:rFonts w:hint="eastAsia" w:ascii="宋体" w:hAnsi="宋体"/>
          <w:kern w:val="0"/>
          <w:sz w:val="24"/>
          <w:szCs w:val="24"/>
        </w:rPr>
        <w:t>年度政府采购计划</w:t>
      </w:r>
      <w:r>
        <w:rPr>
          <w:rFonts w:ascii="宋体"/>
          <w:kern w:val="0"/>
          <w:sz w:val="24"/>
          <w:szCs w:val="24"/>
        </w:rPr>
        <w:t>0</w:t>
      </w:r>
      <w:r>
        <w:rPr>
          <w:rFonts w:hint="eastAsia" w:ascii="宋体" w:hAnsi="宋体"/>
          <w:kern w:val="0"/>
          <w:sz w:val="24"/>
          <w:szCs w:val="24"/>
        </w:rPr>
        <w:t>万元，其中：政府采购货物支出</w:t>
      </w:r>
      <w:r>
        <w:rPr>
          <w:rFonts w:ascii="宋体"/>
          <w:kern w:val="0"/>
          <w:sz w:val="24"/>
          <w:szCs w:val="24"/>
        </w:rPr>
        <w:t>0</w:t>
      </w:r>
      <w:r>
        <w:rPr>
          <w:rFonts w:hint="eastAsia" w:ascii="宋体" w:hAnsi="宋体"/>
          <w:kern w:val="0"/>
          <w:sz w:val="24"/>
          <w:szCs w:val="24"/>
        </w:rPr>
        <w:t>万元，政府采购工程支出</w:t>
      </w:r>
      <w:r>
        <w:rPr>
          <w:rFonts w:ascii="宋体"/>
          <w:kern w:val="0"/>
          <w:sz w:val="24"/>
          <w:szCs w:val="24"/>
        </w:rPr>
        <w:t>0</w:t>
      </w:r>
      <w:r>
        <w:rPr>
          <w:rFonts w:hint="eastAsia" w:ascii="宋体" w:hAnsi="宋体"/>
          <w:kern w:val="0"/>
          <w:sz w:val="24"/>
          <w:szCs w:val="24"/>
        </w:rPr>
        <w:t>万元，政府采购服务支出</w:t>
      </w:r>
      <w:r>
        <w:rPr>
          <w:rFonts w:ascii="宋体"/>
          <w:kern w:val="0"/>
          <w:sz w:val="24"/>
          <w:szCs w:val="24"/>
        </w:rPr>
        <w:t>0</w:t>
      </w:r>
      <w:r>
        <w:rPr>
          <w:rFonts w:hint="eastAsia" w:ascii="宋体" w:hAnsi="宋体"/>
          <w:kern w:val="0"/>
          <w:sz w:val="24"/>
          <w:szCs w:val="24"/>
        </w:rPr>
        <w:t>万元。</w:t>
      </w:r>
    </w:p>
    <w:p>
      <w:pPr>
        <w:shd w:val="clear" w:color="auto" w:fill="FFFFFF"/>
        <w:spacing w:before="100" w:after="240"/>
        <w:jc w:val="left"/>
        <w:rPr>
          <w:rFonts w:ascii="宋体"/>
          <w:kern w:val="0"/>
          <w:sz w:val="24"/>
          <w:szCs w:val="24"/>
        </w:rPr>
      </w:pPr>
    </w:p>
    <w:p>
      <w:pPr>
        <w:shd w:val="clear" w:color="auto" w:fill="FFFFFF"/>
        <w:spacing w:before="100" w:after="240"/>
        <w:jc w:val="left"/>
        <w:rPr>
          <w:rFonts w:eastAsia="Times New Roman" w:cs="Times New Roman"/>
          <w:b/>
          <w:bCs/>
          <w:kern w:val="0"/>
          <w:sz w:val="24"/>
          <w:szCs w:val="24"/>
        </w:rPr>
      </w:pPr>
      <w:r>
        <w:rPr>
          <w:rFonts w:hint="eastAsia" w:ascii="宋体" w:hAnsi="宋体"/>
          <w:b/>
          <w:bCs/>
          <w:kern w:val="0"/>
          <w:sz w:val="24"/>
          <w:szCs w:val="24"/>
        </w:rPr>
        <w:t>七、其他重要事项的情况</w:t>
      </w:r>
    </w:p>
    <w:p>
      <w:pPr>
        <w:shd w:val="clear" w:color="auto" w:fill="FFFFFF"/>
        <w:spacing w:before="100" w:after="240"/>
        <w:jc w:val="left"/>
        <w:rPr>
          <w:rFonts w:eastAsia="Times New Roman" w:cs="Times New Roman"/>
          <w:b/>
          <w:bCs/>
          <w:kern w:val="0"/>
          <w:sz w:val="24"/>
          <w:szCs w:val="24"/>
        </w:rPr>
      </w:pPr>
      <w:r>
        <w:rPr>
          <w:rFonts w:hint="eastAsia" w:ascii="宋体" w:hAnsi="宋体"/>
          <w:b/>
          <w:bCs/>
          <w:kern w:val="0"/>
          <w:sz w:val="24"/>
          <w:szCs w:val="24"/>
        </w:rPr>
        <w:t>（一）国有资产占用情况说明</w:t>
      </w:r>
    </w:p>
    <w:p>
      <w:pPr>
        <w:shd w:val="clear" w:color="auto" w:fill="FFFFFF"/>
        <w:spacing w:before="100" w:line="520" w:lineRule="exact"/>
        <w:ind w:left="118" w:firstLine="480"/>
        <w:rPr>
          <w:rFonts w:eastAsia="Times New Roman" w:cs="Times New Roman"/>
          <w:kern w:val="0"/>
          <w:sz w:val="24"/>
          <w:szCs w:val="24"/>
        </w:rPr>
      </w:pPr>
      <w:r>
        <w:rPr>
          <w:rFonts w:hint="eastAsia" w:ascii="宋体" w:hAnsi="宋体"/>
          <w:kern w:val="0"/>
          <w:sz w:val="24"/>
          <w:szCs w:val="24"/>
        </w:rPr>
        <w:t>截至</w:t>
      </w:r>
      <w:r>
        <w:rPr>
          <w:rFonts w:ascii="宋体" w:hAnsi="宋体"/>
          <w:kern w:val="0"/>
          <w:sz w:val="24"/>
          <w:szCs w:val="24"/>
        </w:rPr>
        <w:t>2018</w:t>
      </w:r>
      <w:r>
        <w:rPr>
          <w:rFonts w:hint="eastAsia" w:ascii="宋体" w:hAnsi="宋体"/>
          <w:kern w:val="0"/>
          <w:sz w:val="24"/>
          <w:szCs w:val="24"/>
        </w:rPr>
        <w:t>年</w:t>
      </w:r>
      <w:r>
        <w:rPr>
          <w:rFonts w:ascii="宋体" w:hAnsi="宋体"/>
          <w:kern w:val="0"/>
          <w:sz w:val="24"/>
          <w:szCs w:val="24"/>
        </w:rPr>
        <w:t>12</w:t>
      </w:r>
      <w:r>
        <w:rPr>
          <w:rFonts w:hint="eastAsia" w:ascii="宋体" w:hAnsi="宋体"/>
          <w:kern w:val="0"/>
          <w:sz w:val="24"/>
          <w:szCs w:val="24"/>
        </w:rPr>
        <w:t>月</w:t>
      </w:r>
      <w:r>
        <w:rPr>
          <w:rFonts w:ascii="宋体" w:hAnsi="宋体"/>
          <w:kern w:val="0"/>
          <w:sz w:val="24"/>
          <w:szCs w:val="24"/>
        </w:rPr>
        <w:t>31</w:t>
      </w:r>
      <w:r>
        <w:rPr>
          <w:rFonts w:hint="eastAsia" w:ascii="宋体" w:hAnsi="宋体"/>
          <w:kern w:val="0"/>
          <w:sz w:val="24"/>
          <w:szCs w:val="24"/>
        </w:rPr>
        <w:t>日，资产总计</w:t>
      </w:r>
      <w:r>
        <w:rPr>
          <w:rFonts w:ascii="宋体" w:hAnsi="宋体"/>
          <w:kern w:val="0"/>
          <w:sz w:val="24"/>
          <w:szCs w:val="24"/>
        </w:rPr>
        <w:t>687.72</w:t>
      </w:r>
      <w:r>
        <w:rPr>
          <w:rFonts w:hint="eastAsia" w:ascii="宋体" w:hAnsi="宋体"/>
          <w:kern w:val="0"/>
          <w:sz w:val="24"/>
          <w:szCs w:val="24"/>
        </w:rPr>
        <w:t>万元，其中：流动资产</w:t>
      </w:r>
      <w:r>
        <w:rPr>
          <w:rFonts w:ascii="宋体" w:hAnsi="宋体"/>
          <w:kern w:val="0"/>
          <w:sz w:val="24"/>
          <w:szCs w:val="24"/>
        </w:rPr>
        <w:t>333.82</w:t>
      </w:r>
      <w:r>
        <w:rPr>
          <w:rFonts w:hint="eastAsia" w:ascii="宋体" w:hAnsi="宋体"/>
          <w:kern w:val="0"/>
          <w:sz w:val="24"/>
          <w:szCs w:val="24"/>
        </w:rPr>
        <w:t>万元，固定资产</w:t>
      </w:r>
      <w:r>
        <w:rPr>
          <w:rFonts w:ascii="宋体" w:hAnsi="宋体"/>
          <w:kern w:val="0"/>
          <w:sz w:val="24"/>
          <w:szCs w:val="24"/>
        </w:rPr>
        <w:t>353.9</w:t>
      </w:r>
      <w:r>
        <w:rPr>
          <w:rFonts w:hint="eastAsia" w:ascii="宋体" w:hAnsi="宋体"/>
          <w:kern w:val="0"/>
          <w:sz w:val="24"/>
          <w:szCs w:val="24"/>
        </w:rPr>
        <w:t>万元，其中：房屋</w:t>
      </w:r>
      <w:r>
        <w:rPr>
          <w:rFonts w:ascii="宋体" w:hAnsi="宋体"/>
          <w:kern w:val="0"/>
          <w:sz w:val="24"/>
          <w:szCs w:val="24"/>
        </w:rPr>
        <w:t>846</w:t>
      </w:r>
      <w:r>
        <w:rPr>
          <w:rFonts w:hint="eastAsia" w:ascii="宋体" w:hAnsi="宋体"/>
          <w:kern w:val="0"/>
          <w:sz w:val="24"/>
          <w:szCs w:val="24"/>
        </w:rPr>
        <w:t>（平方米），价值</w:t>
      </w:r>
      <w:r>
        <w:rPr>
          <w:rFonts w:ascii="宋体" w:hAnsi="宋体"/>
          <w:kern w:val="0"/>
          <w:sz w:val="24"/>
          <w:szCs w:val="24"/>
        </w:rPr>
        <w:t>29.24</w:t>
      </w:r>
      <w:r>
        <w:rPr>
          <w:rFonts w:hint="eastAsia" w:ascii="宋体" w:hAnsi="宋体"/>
          <w:kern w:val="0"/>
          <w:sz w:val="24"/>
          <w:szCs w:val="24"/>
        </w:rPr>
        <w:t>万元</w:t>
      </w:r>
      <w:r>
        <w:rPr>
          <w:rFonts w:hint="eastAsia" w:ascii="宋体" w:hAnsi="宋体"/>
          <w:kern w:val="0"/>
          <w:sz w:val="24"/>
          <w:szCs w:val="24"/>
          <w:lang w:eastAsia="zh-CN"/>
        </w:rPr>
        <w:t>。</w:t>
      </w:r>
      <w:r>
        <w:rPr>
          <w:rFonts w:hint="eastAsia" w:ascii="宋体" w:hAnsi="宋体"/>
          <w:kern w:val="0"/>
          <w:sz w:val="24"/>
          <w:szCs w:val="24"/>
        </w:rPr>
        <w:t>截至2018年12月31日，单位共有车辆0辆，价值0万元，其中：副部（省）级领导干部用车</w:t>
      </w:r>
      <w:r>
        <w:rPr>
          <w:rFonts w:ascii="宋体"/>
          <w:kern w:val="0"/>
          <w:sz w:val="24"/>
          <w:szCs w:val="24"/>
        </w:rPr>
        <w:t>0</w:t>
      </w:r>
      <w:r>
        <w:rPr>
          <w:rFonts w:hint="eastAsia" w:ascii="宋体" w:hAnsi="宋体"/>
          <w:kern w:val="0"/>
          <w:sz w:val="24"/>
          <w:szCs w:val="24"/>
        </w:rPr>
        <w:t>辆、主要领导干部用车</w:t>
      </w:r>
      <w:r>
        <w:rPr>
          <w:rFonts w:ascii="宋体"/>
          <w:kern w:val="0"/>
          <w:sz w:val="24"/>
          <w:szCs w:val="24"/>
        </w:rPr>
        <w:t>0</w:t>
      </w:r>
      <w:r>
        <w:rPr>
          <w:rFonts w:hint="eastAsia" w:ascii="宋体" w:hAnsi="宋体"/>
          <w:kern w:val="0"/>
          <w:sz w:val="24"/>
          <w:szCs w:val="24"/>
        </w:rPr>
        <w:t>辆、机要通信用车</w:t>
      </w:r>
      <w:r>
        <w:rPr>
          <w:rFonts w:ascii="宋体"/>
          <w:kern w:val="0"/>
          <w:sz w:val="24"/>
          <w:szCs w:val="24"/>
        </w:rPr>
        <w:t>0</w:t>
      </w:r>
      <w:r>
        <w:rPr>
          <w:rFonts w:hint="eastAsia" w:ascii="宋体" w:hAnsi="宋体"/>
          <w:kern w:val="0"/>
          <w:sz w:val="24"/>
          <w:szCs w:val="24"/>
        </w:rPr>
        <w:t>辆、应急保障用车</w:t>
      </w:r>
      <w:r>
        <w:rPr>
          <w:rFonts w:ascii="宋体"/>
          <w:kern w:val="0"/>
          <w:sz w:val="24"/>
          <w:szCs w:val="24"/>
        </w:rPr>
        <w:t>0</w:t>
      </w:r>
      <w:r>
        <w:rPr>
          <w:rFonts w:hint="eastAsia" w:ascii="宋体" w:hAnsi="宋体"/>
          <w:kern w:val="0"/>
          <w:sz w:val="24"/>
          <w:szCs w:val="24"/>
        </w:rPr>
        <w:t>辆、执法执勤用车</w:t>
      </w:r>
      <w:r>
        <w:rPr>
          <w:rFonts w:ascii="宋体"/>
          <w:kern w:val="0"/>
          <w:sz w:val="24"/>
          <w:szCs w:val="24"/>
        </w:rPr>
        <w:t>0</w:t>
      </w:r>
      <w:r>
        <w:rPr>
          <w:rFonts w:hint="eastAsia" w:ascii="宋体" w:hAnsi="宋体"/>
          <w:kern w:val="0"/>
          <w:sz w:val="24"/>
          <w:szCs w:val="24"/>
        </w:rPr>
        <w:t>、特种专业技术用车</w:t>
      </w:r>
      <w:r>
        <w:rPr>
          <w:rFonts w:ascii="宋体"/>
          <w:kern w:val="0"/>
          <w:sz w:val="24"/>
          <w:szCs w:val="24"/>
        </w:rPr>
        <w:t>0</w:t>
      </w:r>
      <w:r>
        <w:rPr>
          <w:rFonts w:hint="eastAsia" w:ascii="宋体" w:hAnsi="宋体"/>
          <w:kern w:val="0"/>
          <w:sz w:val="24"/>
          <w:szCs w:val="24"/>
        </w:rPr>
        <w:t>辆、离退休干部用车</w:t>
      </w:r>
      <w:r>
        <w:rPr>
          <w:rFonts w:ascii="宋体"/>
          <w:kern w:val="0"/>
          <w:sz w:val="24"/>
          <w:szCs w:val="24"/>
        </w:rPr>
        <w:t>0</w:t>
      </w:r>
      <w:r>
        <w:rPr>
          <w:rFonts w:hint="eastAsia" w:ascii="宋体" w:hAnsi="宋体"/>
          <w:kern w:val="0"/>
          <w:sz w:val="24"/>
          <w:szCs w:val="24"/>
        </w:rPr>
        <w:t>辆、其他用车</w:t>
      </w:r>
      <w:r>
        <w:rPr>
          <w:rFonts w:ascii="宋体"/>
          <w:kern w:val="0"/>
          <w:sz w:val="24"/>
          <w:szCs w:val="24"/>
        </w:rPr>
        <w:t>0</w:t>
      </w:r>
      <w:r>
        <w:rPr>
          <w:rFonts w:hint="eastAsia" w:ascii="宋体" w:hAnsi="宋体"/>
          <w:kern w:val="0"/>
          <w:sz w:val="24"/>
          <w:szCs w:val="24"/>
        </w:rPr>
        <w:t>辆（本单位无其他用车）：单位价值</w:t>
      </w:r>
      <w:r>
        <w:rPr>
          <w:rFonts w:ascii="宋体" w:hAnsi="宋体"/>
          <w:kern w:val="0"/>
          <w:sz w:val="24"/>
          <w:szCs w:val="24"/>
        </w:rPr>
        <w:t>5</w:t>
      </w:r>
      <w:r>
        <w:rPr>
          <w:rFonts w:eastAsia="Times New Roman" w:cs="Times New Roman"/>
          <w:kern w:val="0"/>
          <w:sz w:val="24"/>
          <w:szCs w:val="24"/>
        </w:rPr>
        <w:t>0</w:t>
      </w:r>
      <w:r>
        <w:rPr>
          <w:rFonts w:hint="eastAsia" w:ascii="宋体" w:hAnsi="宋体"/>
          <w:kern w:val="0"/>
          <w:sz w:val="24"/>
          <w:szCs w:val="24"/>
        </w:rPr>
        <w:t>万元以上通用设备</w:t>
      </w:r>
      <w:r>
        <w:rPr>
          <w:rFonts w:ascii="宋体"/>
          <w:kern w:val="0"/>
          <w:sz w:val="24"/>
          <w:szCs w:val="24"/>
        </w:rPr>
        <w:t>0</w:t>
      </w:r>
      <w:r>
        <w:rPr>
          <w:rFonts w:hint="eastAsia" w:ascii="宋体" w:hAnsi="宋体"/>
          <w:kern w:val="0"/>
          <w:sz w:val="24"/>
          <w:szCs w:val="24"/>
        </w:rPr>
        <w:t>台（套），单位价值</w:t>
      </w:r>
      <w:r>
        <w:rPr>
          <w:rFonts w:ascii="宋体" w:hAnsi="宋体"/>
          <w:kern w:val="0"/>
          <w:sz w:val="24"/>
          <w:szCs w:val="24"/>
        </w:rPr>
        <w:t>1</w:t>
      </w:r>
      <w:r>
        <w:rPr>
          <w:rFonts w:eastAsia="Times New Roman" w:cs="Times New Roman"/>
          <w:kern w:val="0"/>
          <w:sz w:val="24"/>
          <w:szCs w:val="24"/>
        </w:rPr>
        <w:t>00</w:t>
      </w:r>
      <w:r>
        <w:rPr>
          <w:rFonts w:hint="eastAsia" w:ascii="宋体" w:hAnsi="宋体"/>
          <w:kern w:val="0"/>
          <w:sz w:val="24"/>
          <w:szCs w:val="24"/>
        </w:rPr>
        <w:t>万元以上专用设备</w:t>
      </w:r>
      <w:r>
        <w:rPr>
          <w:rFonts w:ascii="宋体"/>
          <w:kern w:val="0"/>
          <w:sz w:val="24"/>
          <w:szCs w:val="24"/>
        </w:rPr>
        <w:t>0</w:t>
      </w:r>
      <w:r>
        <w:rPr>
          <w:rFonts w:hint="eastAsia" w:ascii="宋体" w:hAnsi="宋体"/>
          <w:kern w:val="0"/>
          <w:sz w:val="24"/>
          <w:szCs w:val="24"/>
        </w:rPr>
        <w:t>台（套），其他固定资产价值</w:t>
      </w:r>
      <w:r>
        <w:rPr>
          <w:rFonts w:ascii="宋体" w:hAnsi="宋体"/>
          <w:kern w:val="0"/>
          <w:sz w:val="24"/>
          <w:szCs w:val="24"/>
        </w:rPr>
        <w:t>324.66</w:t>
      </w:r>
      <w:r>
        <w:rPr>
          <w:rFonts w:hint="eastAsia" w:ascii="宋体" w:hAnsi="宋体"/>
          <w:kern w:val="0"/>
          <w:sz w:val="24"/>
          <w:szCs w:val="24"/>
        </w:rPr>
        <w:t>万元。</w:t>
      </w:r>
    </w:p>
    <w:p>
      <w:pPr>
        <w:shd w:val="clear" w:color="auto" w:fill="FFFFFF"/>
        <w:spacing w:before="100" w:after="240"/>
        <w:jc w:val="left"/>
        <w:rPr>
          <w:rFonts w:ascii="宋体"/>
          <w:b/>
          <w:bCs/>
          <w:kern w:val="0"/>
          <w:sz w:val="24"/>
          <w:szCs w:val="24"/>
        </w:rPr>
      </w:pPr>
    </w:p>
    <w:p>
      <w:pPr>
        <w:shd w:val="clear" w:color="auto" w:fill="FFFFFF"/>
        <w:spacing w:before="100" w:after="240"/>
        <w:jc w:val="left"/>
        <w:rPr>
          <w:rFonts w:eastAsia="Times New Roman" w:cs="Times New Roman"/>
          <w:b/>
          <w:bCs/>
          <w:kern w:val="0"/>
          <w:sz w:val="24"/>
          <w:szCs w:val="24"/>
        </w:rPr>
      </w:pPr>
      <w:r>
        <w:rPr>
          <w:rFonts w:hint="eastAsia" w:ascii="宋体" w:hAnsi="宋体"/>
          <w:b/>
          <w:bCs/>
          <w:kern w:val="0"/>
          <w:sz w:val="24"/>
          <w:szCs w:val="24"/>
        </w:rPr>
        <w:t>（二）预算绩效情况的说明</w:t>
      </w:r>
    </w:p>
    <w:p>
      <w:pPr>
        <w:shd w:val="clear" w:color="auto" w:fill="FFFFFF"/>
        <w:spacing w:before="100" w:line="520" w:lineRule="exact"/>
        <w:ind w:left="118" w:firstLine="480"/>
        <w:rPr>
          <w:rFonts w:ascii="宋体"/>
          <w:kern w:val="0"/>
          <w:sz w:val="24"/>
          <w:szCs w:val="24"/>
        </w:rPr>
      </w:pPr>
      <w:r>
        <w:rPr>
          <w:rFonts w:ascii="宋体" w:hAnsi="宋体"/>
          <w:kern w:val="0"/>
          <w:sz w:val="24"/>
          <w:szCs w:val="24"/>
        </w:rPr>
        <w:t>2018</w:t>
      </w:r>
      <w:r>
        <w:rPr>
          <w:rFonts w:hint="eastAsia" w:ascii="宋体" w:hAnsi="宋体"/>
          <w:kern w:val="0"/>
          <w:sz w:val="24"/>
          <w:szCs w:val="24"/>
        </w:rPr>
        <w:t>年度，本部门单位预算绩效自评情况：自述有关预算绩效管理和绩效自评开展情况。</w:t>
      </w:r>
    </w:p>
    <w:p>
      <w:pPr>
        <w:shd w:val="clear" w:color="auto" w:fill="FFFFFF"/>
        <w:spacing w:before="100" w:line="520" w:lineRule="exact"/>
        <w:ind w:left="118" w:firstLine="480"/>
        <w:rPr>
          <w:rFonts w:ascii="宋体"/>
          <w:kern w:val="0"/>
          <w:sz w:val="24"/>
          <w:szCs w:val="24"/>
        </w:rPr>
      </w:pPr>
      <w:r>
        <w:rPr>
          <w:rFonts w:hint="eastAsia" w:ascii="宋体" w:hAnsi="宋体"/>
          <w:kern w:val="0"/>
          <w:sz w:val="24"/>
          <w:szCs w:val="24"/>
        </w:rPr>
        <w:t>重点税源监控项目绩效自评综述：根据年初设定的绩效目标，重点税源监控项目绩效自评得分为</w:t>
      </w:r>
      <w:r>
        <w:rPr>
          <w:rFonts w:ascii="宋体" w:hAnsi="宋体"/>
          <w:kern w:val="0"/>
          <w:sz w:val="24"/>
          <w:szCs w:val="24"/>
        </w:rPr>
        <w:t>100</w:t>
      </w:r>
      <w:r>
        <w:rPr>
          <w:rFonts w:hint="eastAsia" w:ascii="宋体" w:hAnsi="宋体"/>
          <w:kern w:val="0"/>
          <w:sz w:val="24"/>
          <w:szCs w:val="24"/>
        </w:rPr>
        <w:t>分。项目全年预算数为</w:t>
      </w:r>
      <w:r>
        <w:rPr>
          <w:rFonts w:ascii="宋体" w:hAnsi="宋体"/>
          <w:kern w:val="0"/>
          <w:sz w:val="24"/>
          <w:szCs w:val="24"/>
        </w:rPr>
        <w:t>0.60</w:t>
      </w:r>
      <w:r>
        <w:rPr>
          <w:rFonts w:hint="eastAsia" w:ascii="宋体" w:hAnsi="宋体"/>
          <w:kern w:val="0"/>
          <w:sz w:val="24"/>
          <w:szCs w:val="24"/>
        </w:rPr>
        <w:t>万元，执行数为</w:t>
      </w:r>
      <w:r>
        <w:rPr>
          <w:rFonts w:ascii="宋体" w:hAnsi="宋体"/>
          <w:kern w:val="0"/>
          <w:sz w:val="24"/>
          <w:szCs w:val="24"/>
        </w:rPr>
        <w:t>0.6</w:t>
      </w:r>
      <w:r>
        <w:rPr>
          <w:rFonts w:hint="eastAsia" w:ascii="宋体" w:hAnsi="宋体"/>
          <w:kern w:val="0"/>
          <w:sz w:val="24"/>
          <w:szCs w:val="24"/>
        </w:rPr>
        <w:t>万元，完成预算的</w:t>
      </w:r>
      <w:r>
        <w:rPr>
          <w:rFonts w:ascii="宋体" w:hAnsi="宋体"/>
          <w:kern w:val="0"/>
          <w:sz w:val="24"/>
          <w:szCs w:val="24"/>
        </w:rPr>
        <w:t>100%</w:t>
      </w:r>
      <w:r>
        <w:rPr>
          <w:rFonts w:hint="eastAsia" w:ascii="宋体" w:hAnsi="宋体"/>
          <w:kern w:val="0"/>
          <w:sz w:val="24"/>
          <w:szCs w:val="24"/>
        </w:rPr>
        <w:t>。主要产出和效果：一是调查样本企业的基本信息、有关生产经营、财务和税收数据，包括：样本企业每个季度的资产负债表、利润表及附注、纳税申报表及附表中的财务会计、税收类数据以及相关生产经营类数据，填报《全国重点企业税源调查快报指标》。二是满足上级单位使用。发现的问题及原因：合理科学使用经费；根据</w:t>
      </w:r>
      <w:r>
        <w:rPr>
          <w:rFonts w:ascii="宋体" w:hAnsi="宋体"/>
          <w:kern w:val="0"/>
          <w:sz w:val="24"/>
          <w:szCs w:val="24"/>
        </w:rPr>
        <w:t>3</w:t>
      </w:r>
      <w:r>
        <w:rPr>
          <w:rFonts w:hint="eastAsia" w:ascii="宋体" w:hAnsi="宋体"/>
          <w:kern w:val="0"/>
          <w:sz w:val="24"/>
          <w:szCs w:val="24"/>
        </w:rPr>
        <w:t>家企业财务会计、税收和生产经营类数据，按时填报《全国重点企业税源调查快报指标》。下一步改进措施：更加合理科学使用经费，充分满足涉企相关税收政策工作。</w:t>
      </w:r>
    </w:p>
    <w:p>
      <w:pPr>
        <w:shd w:val="clear" w:color="auto" w:fill="FFFFFF"/>
        <w:spacing w:before="100" w:line="520" w:lineRule="exact"/>
        <w:ind w:firstLine="480"/>
        <w:rPr>
          <w:rFonts w:eastAsia="Times New Roman" w:cs="Times New Roman"/>
          <w:kern w:val="0"/>
          <w:sz w:val="24"/>
          <w:szCs w:val="24"/>
        </w:rPr>
      </w:pPr>
    </w:p>
    <w:p>
      <w:pPr>
        <w:shd w:val="clear" w:color="auto" w:fill="FFFFFF"/>
        <w:spacing w:before="100" w:after="240"/>
        <w:jc w:val="center"/>
        <w:rPr>
          <w:rFonts w:eastAsia="Times New Roman" w:cs="Times New Roman"/>
          <w:b/>
          <w:bCs/>
          <w:kern w:val="0"/>
          <w:sz w:val="24"/>
          <w:szCs w:val="24"/>
        </w:rPr>
      </w:pPr>
      <w:r>
        <w:rPr>
          <w:rFonts w:hint="eastAsia" w:ascii="宋体" w:hAnsi="宋体"/>
          <w:b/>
          <w:bCs/>
          <w:kern w:val="0"/>
          <w:sz w:val="24"/>
          <w:szCs w:val="24"/>
        </w:rPr>
        <w:t>第三部分</w:t>
      </w:r>
      <w:r>
        <w:rPr>
          <w:rFonts w:ascii="宋体" w:hAnsi="宋体"/>
          <w:b/>
          <w:bCs/>
          <w:kern w:val="0"/>
          <w:sz w:val="24"/>
          <w:szCs w:val="24"/>
        </w:rPr>
        <w:t xml:space="preserve"> </w:t>
      </w:r>
      <w:r>
        <w:rPr>
          <w:rFonts w:hint="eastAsia" w:ascii="宋体" w:hAnsi="宋体"/>
          <w:b/>
          <w:bCs/>
          <w:kern w:val="0"/>
          <w:sz w:val="24"/>
          <w:szCs w:val="24"/>
        </w:rPr>
        <w:t>专业名词解释</w:t>
      </w:r>
    </w:p>
    <w:p>
      <w:pPr>
        <w:shd w:val="clear" w:color="auto" w:fill="FFFFFF"/>
        <w:spacing w:before="100" w:line="520" w:lineRule="exact"/>
        <w:rPr>
          <w:rFonts w:eastAsia="Times New Roman" w:cs="Times New Roman"/>
          <w:kern w:val="0"/>
          <w:sz w:val="24"/>
          <w:szCs w:val="24"/>
        </w:rPr>
      </w:pPr>
      <w:r>
        <w:rPr>
          <w:rFonts w:ascii="宋体" w:hAnsi="宋体"/>
          <w:kern w:val="0"/>
          <w:sz w:val="24"/>
          <w:szCs w:val="24"/>
        </w:rPr>
        <w:t>1</w:t>
      </w:r>
      <w:r>
        <w:rPr>
          <w:rFonts w:eastAsia="Times New Roman" w:cs="Times New Roman"/>
          <w:kern w:val="0"/>
          <w:sz w:val="24"/>
          <w:szCs w:val="24"/>
        </w:rPr>
        <w:t>.</w:t>
      </w:r>
      <w:r>
        <w:rPr>
          <w:rFonts w:hint="eastAsia" w:ascii="宋体" w:hAnsi="宋体"/>
          <w:kern w:val="0"/>
          <w:sz w:val="24"/>
          <w:szCs w:val="24"/>
        </w:rPr>
        <w:t>财政拨款收入：指同级财政当年拨付的资金。</w:t>
      </w:r>
    </w:p>
    <w:p>
      <w:pPr>
        <w:shd w:val="clear" w:color="auto" w:fill="FFFFFF"/>
        <w:spacing w:before="100" w:line="520" w:lineRule="exact"/>
        <w:rPr>
          <w:rFonts w:eastAsia="Times New Roman" w:cs="Times New Roman"/>
          <w:kern w:val="0"/>
          <w:sz w:val="24"/>
          <w:szCs w:val="24"/>
        </w:rPr>
      </w:pPr>
      <w:r>
        <w:rPr>
          <w:rFonts w:ascii="宋体" w:hAnsi="宋体"/>
          <w:kern w:val="0"/>
          <w:sz w:val="24"/>
          <w:szCs w:val="24"/>
        </w:rPr>
        <w:t>2.</w:t>
      </w:r>
      <w:r>
        <w:rPr>
          <w:rFonts w:hint="eastAsia" w:ascii="宋体" w:hAnsi="宋体"/>
          <w:kern w:val="0"/>
          <w:sz w:val="24"/>
          <w:szCs w:val="24"/>
        </w:rPr>
        <w:t>上级补助收入：指事业单位从主管部门和上级单位取得的非财政补助收入。</w:t>
      </w:r>
    </w:p>
    <w:p>
      <w:pPr>
        <w:shd w:val="clear" w:color="auto" w:fill="FFFFFF"/>
        <w:spacing w:before="100" w:line="520" w:lineRule="exact"/>
        <w:rPr>
          <w:rFonts w:eastAsia="Times New Roman" w:cs="Times New Roman"/>
          <w:kern w:val="0"/>
          <w:sz w:val="24"/>
          <w:szCs w:val="24"/>
        </w:rPr>
      </w:pPr>
      <w:r>
        <w:rPr>
          <w:rFonts w:ascii="宋体" w:hAnsi="宋体"/>
          <w:kern w:val="0"/>
          <w:sz w:val="24"/>
          <w:szCs w:val="24"/>
        </w:rPr>
        <w:t>3</w:t>
      </w:r>
      <w:r>
        <w:rPr>
          <w:rFonts w:eastAsia="Times New Roman" w:cs="Times New Roman"/>
          <w:kern w:val="0"/>
          <w:sz w:val="24"/>
          <w:szCs w:val="24"/>
        </w:rPr>
        <w:t>.</w:t>
      </w:r>
      <w:r>
        <w:rPr>
          <w:rFonts w:hint="eastAsia" w:ascii="宋体" w:hAnsi="宋体"/>
          <w:kern w:val="0"/>
          <w:sz w:val="24"/>
          <w:szCs w:val="24"/>
        </w:rPr>
        <w:t>事业收入：指事业单位开展专业业务活动及其辅助活动所取得的收入。</w:t>
      </w:r>
    </w:p>
    <w:p>
      <w:pPr>
        <w:shd w:val="clear" w:color="auto" w:fill="FFFFFF"/>
        <w:spacing w:before="100" w:line="520" w:lineRule="exact"/>
        <w:rPr>
          <w:rFonts w:eastAsia="Times New Roman" w:cs="Times New Roman"/>
          <w:kern w:val="0"/>
          <w:sz w:val="24"/>
          <w:szCs w:val="24"/>
        </w:rPr>
      </w:pPr>
      <w:r>
        <w:rPr>
          <w:rFonts w:ascii="宋体" w:hAnsi="宋体"/>
          <w:kern w:val="0"/>
          <w:sz w:val="24"/>
          <w:szCs w:val="24"/>
        </w:rPr>
        <w:t>4</w:t>
      </w:r>
      <w:r>
        <w:rPr>
          <w:rFonts w:eastAsia="Times New Roman" w:cs="Times New Roman"/>
          <w:kern w:val="0"/>
          <w:sz w:val="24"/>
          <w:szCs w:val="24"/>
        </w:rPr>
        <w:t>.</w:t>
      </w:r>
      <w:r>
        <w:rPr>
          <w:rFonts w:hint="eastAsia" w:ascii="宋体" w:hAnsi="宋体"/>
          <w:kern w:val="0"/>
          <w:sz w:val="24"/>
          <w:szCs w:val="24"/>
        </w:rPr>
        <w:t>经营收入：指事业单位在专业业务活动及其辅助活动之外开展非独立核算经营活动取得的收入。</w:t>
      </w:r>
    </w:p>
    <w:p>
      <w:pPr>
        <w:shd w:val="clear" w:color="auto" w:fill="FFFFFF"/>
        <w:spacing w:before="100" w:line="520" w:lineRule="exact"/>
        <w:rPr>
          <w:rFonts w:eastAsia="Times New Roman" w:cs="Times New Roman"/>
          <w:kern w:val="0"/>
          <w:sz w:val="24"/>
          <w:szCs w:val="24"/>
        </w:rPr>
      </w:pPr>
      <w:r>
        <w:rPr>
          <w:rFonts w:ascii="宋体" w:hAnsi="宋体"/>
          <w:kern w:val="0"/>
          <w:sz w:val="24"/>
          <w:szCs w:val="24"/>
        </w:rPr>
        <w:t>5</w:t>
      </w:r>
      <w:r>
        <w:rPr>
          <w:rFonts w:eastAsia="Times New Roman" w:cs="Times New Roman"/>
          <w:kern w:val="0"/>
          <w:sz w:val="24"/>
          <w:szCs w:val="24"/>
        </w:rPr>
        <w:t>.</w:t>
      </w:r>
      <w:r>
        <w:rPr>
          <w:rFonts w:hint="eastAsia" w:ascii="宋体" w:hAnsi="宋体"/>
          <w:kern w:val="0"/>
          <w:sz w:val="24"/>
          <w:szCs w:val="24"/>
        </w:rPr>
        <w:t>附属单位上缴收入：指事业单位附属的独立核算单位按有关规定上缴的收入。</w:t>
      </w:r>
    </w:p>
    <w:p>
      <w:pPr>
        <w:shd w:val="clear" w:color="auto" w:fill="FFFFFF"/>
        <w:spacing w:before="100" w:line="520" w:lineRule="exact"/>
        <w:rPr>
          <w:rFonts w:eastAsia="Times New Roman" w:cs="Times New Roman"/>
          <w:kern w:val="0"/>
          <w:sz w:val="24"/>
          <w:szCs w:val="24"/>
        </w:rPr>
      </w:pPr>
      <w:r>
        <w:rPr>
          <w:rFonts w:ascii="宋体" w:hAnsi="宋体"/>
          <w:kern w:val="0"/>
          <w:sz w:val="24"/>
          <w:szCs w:val="24"/>
        </w:rPr>
        <w:t>6</w:t>
      </w:r>
      <w:r>
        <w:rPr>
          <w:rFonts w:eastAsia="Times New Roman" w:cs="Times New Roman"/>
          <w:kern w:val="0"/>
          <w:sz w:val="24"/>
          <w:szCs w:val="24"/>
        </w:rPr>
        <w:t>.</w:t>
      </w:r>
      <w:r>
        <w:rPr>
          <w:rFonts w:hint="eastAsia" w:ascii="宋体" w:hAnsi="宋体"/>
          <w:kern w:val="0"/>
          <w:sz w:val="24"/>
          <w:szCs w:val="24"/>
        </w:rPr>
        <w:t>其他收入：指除上述“财政拨款收入”、“事业收入”、“经营收入”、“附属单位上缴收入”等之外取得的收入。</w:t>
      </w:r>
    </w:p>
    <w:p>
      <w:pPr>
        <w:shd w:val="clear" w:color="auto" w:fill="FFFFFF"/>
        <w:spacing w:before="100" w:line="520" w:lineRule="exact"/>
        <w:rPr>
          <w:rFonts w:eastAsia="Times New Roman" w:cs="Times New Roman"/>
          <w:kern w:val="0"/>
          <w:sz w:val="24"/>
          <w:szCs w:val="24"/>
        </w:rPr>
      </w:pPr>
      <w:r>
        <w:rPr>
          <w:rFonts w:ascii="宋体" w:hAnsi="宋体"/>
          <w:kern w:val="0"/>
          <w:sz w:val="24"/>
          <w:szCs w:val="24"/>
        </w:rPr>
        <w:t>7</w:t>
      </w:r>
      <w:r>
        <w:rPr>
          <w:rFonts w:eastAsia="Times New Roman" w:cs="Times New Roman"/>
          <w:kern w:val="0"/>
          <w:sz w:val="24"/>
          <w:szCs w:val="24"/>
        </w:rPr>
        <w:t>.</w:t>
      </w:r>
      <w:r>
        <w:rPr>
          <w:rFonts w:hint="eastAsia" w:ascii="宋体" w:hAnsi="宋体"/>
          <w:kern w:val="0"/>
          <w:sz w:val="24"/>
          <w:szCs w:val="24"/>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shd w:val="clear" w:color="auto" w:fill="FFFFFF"/>
        <w:spacing w:before="100" w:line="520" w:lineRule="exact"/>
        <w:rPr>
          <w:rFonts w:eastAsia="Times New Roman" w:cs="Times New Roman"/>
          <w:kern w:val="0"/>
          <w:sz w:val="24"/>
          <w:szCs w:val="24"/>
        </w:rPr>
      </w:pPr>
      <w:r>
        <w:rPr>
          <w:rFonts w:ascii="宋体" w:hAnsi="宋体"/>
          <w:kern w:val="0"/>
          <w:sz w:val="24"/>
          <w:szCs w:val="24"/>
        </w:rPr>
        <w:t>8</w:t>
      </w:r>
      <w:r>
        <w:rPr>
          <w:rFonts w:eastAsia="Times New Roman" w:cs="Times New Roman"/>
          <w:kern w:val="0"/>
          <w:sz w:val="24"/>
          <w:szCs w:val="24"/>
        </w:rPr>
        <w:t>.</w:t>
      </w:r>
      <w:r>
        <w:rPr>
          <w:rFonts w:hint="eastAsia" w:ascii="宋体" w:hAnsi="宋体"/>
          <w:kern w:val="0"/>
          <w:sz w:val="24"/>
          <w:szCs w:val="24"/>
        </w:rPr>
        <w:t>上年结转和结余：指以前年度支出预算因客观条件变化未执行完毕、结转到本年度按有关规定继续使用的资金，既包括财政拨款结转和结余，也包括事业收入、经营收入、其他收入的结转和结余。</w:t>
      </w:r>
    </w:p>
    <w:p>
      <w:pPr>
        <w:shd w:val="clear" w:color="auto" w:fill="FFFFFF"/>
        <w:spacing w:before="100" w:line="520" w:lineRule="exact"/>
        <w:rPr>
          <w:rFonts w:eastAsia="Times New Roman" w:cs="Times New Roman"/>
          <w:kern w:val="0"/>
          <w:sz w:val="24"/>
          <w:szCs w:val="24"/>
        </w:rPr>
      </w:pPr>
      <w:r>
        <w:rPr>
          <w:rFonts w:ascii="宋体" w:hAnsi="宋体"/>
          <w:kern w:val="0"/>
          <w:sz w:val="24"/>
          <w:szCs w:val="24"/>
        </w:rPr>
        <w:t>9</w:t>
      </w:r>
      <w:r>
        <w:rPr>
          <w:rFonts w:eastAsia="Times New Roman" w:cs="Times New Roman"/>
          <w:kern w:val="0"/>
          <w:sz w:val="24"/>
          <w:szCs w:val="24"/>
        </w:rPr>
        <w:t>.</w:t>
      </w:r>
      <w:r>
        <w:rPr>
          <w:rFonts w:hint="eastAsia" w:ascii="宋体" w:hAnsi="宋体"/>
          <w:kern w:val="0"/>
          <w:sz w:val="24"/>
          <w:szCs w:val="24"/>
        </w:rPr>
        <w:t>结余分配：反映单位当年结余的分配情况。</w:t>
      </w:r>
    </w:p>
    <w:p>
      <w:pPr>
        <w:shd w:val="clear" w:color="auto" w:fill="FFFFFF"/>
        <w:spacing w:before="100" w:line="520" w:lineRule="exact"/>
        <w:rPr>
          <w:rFonts w:eastAsia="Times New Roman" w:cs="Times New Roman"/>
          <w:kern w:val="0"/>
          <w:sz w:val="24"/>
          <w:szCs w:val="24"/>
        </w:rPr>
      </w:pPr>
      <w:r>
        <w:rPr>
          <w:rFonts w:ascii="宋体" w:hAnsi="宋体"/>
          <w:kern w:val="0"/>
          <w:sz w:val="24"/>
          <w:szCs w:val="24"/>
        </w:rPr>
        <w:t>1</w:t>
      </w:r>
      <w:r>
        <w:rPr>
          <w:rFonts w:eastAsia="Times New Roman" w:cs="Times New Roman"/>
          <w:kern w:val="0"/>
          <w:sz w:val="24"/>
          <w:szCs w:val="24"/>
        </w:rPr>
        <w:t>0.</w:t>
      </w:r>
      <w:r>
        <w:rPr>
          <w:rFonts w:hint="eastAsia" w:ascii="宋体" w:hAnsi="宋体"/>
          <w:kern w:val="0"/>
          <w:sz w:val="24"/>
          <w:szCs w:val="24"/>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hd w:val="clear" w:color="auto" w:fill="FFFFFF"/>
        <w:spacing w:before="100" w:line="520" w:lineRule="exact"/>
        <w:rPr>
          <w:rFonts w:eastAsia="Times New Roman" w:cs="Times New Roman"/>
          <w:kern w:val="0"/>
          <w:sz w:val="24"/>
          <w:szCs w:val="24"/>
        </w:rPr>
      </w:pPr>
      <w:r>
        <w:rPr>
          <w:rFonts w:ascii="宋体" w:hAnsi="宋体"/>
          <w:kern w:val="0"/>
          <w:sz w:val="24"/>
          <w:szCs w:val="24"/>
        </w:rPr>
        <w:t>11.</w:t>
      </w:r>
      <w:r>
        <w:rPr>
          <w:rFonts w:hint="eastAsia" w:ascii="宋体" w:hAnsi="宋体"/>
          <w:kern w:val="0"/>
          <w:sz w:val="24"/>
          <w:szCs w:val="24"/>
        </w:rPr>
        <w:t>基本支出：指为保障机构正常运转、完成日常工作任务而发生的人员支出和公用支出。</w:t>
      </w:r>
    </w:p>
    <w:p>
      <w:pPr>
        <w:shd w:val="clear" w:color="auto" w:fill="FFFFFF"/>
        <w:spacing w:before="100" w:line="520" w:lineRule="exact"/>
        <w:rPr>
          <w:rFonts w:eastAsia="Times New Roman" w:cs="Times New Roman"/>
          <w:kern w:val="0"/>
          <w:sz w:val="24"/>
          <w:szCs w:val="24"/>
        </w:rPr>
      </w:pPr>
      <w:r>
        <w:rPr>
          <w:rFonts w:ascii="宋体" w:hAnsi="宋体"/>
          <w:kern w:val="0"/>
          <w:sz w:val="24"/>
          <w:szCs w:val="24"/>
        </w:rPr>
        <w:t>12.</w:t>
      </w:r>
      <w:r>
        <w:rPr>
          <w:rFonts w:hint="eastAsia" w:ascii="宋体" w:hAnsi="宋体"/>
          <w:kern w:val="0"/>
          <w:sz w:val="24"/>
          <w:szCs w:val="24"/>
        </w:rPr>
        <w:t>项目支出：指在基本支出之外为完成特定行政任务和事业发展目标所发生的支出。</w:t>
      </w:r>
    </w:p>
    <w:p>
      <w:pPr>
        <w:shd w:val="clear" w:color="auto" w:fill="FFFFFF"/>
        <w:spacing w:before="100" w:line="520" w:lineRule="exact"/>
        <w:rPr>
          <w:rFonts w:eastAsia="Times New Roman" w:cs="Times New Roman"/>
          <w:kern w:val="0"/>
          <w:sz w:val="24"/>
          <w:szCs w:val="24"/>
        </w:rPr>
      </w:pPr>
      <w:r>
        <w:rPr>
          <w:rFonts w:ascii="宋体" w:hAnsi="宋体"/>
          <w:kern w:val="0"/>
          <w:sz w:val="24"/>
          <w:szCs w:val="24"/>
        </w:rPr>
        <w:t>13.</w:t>
      </w:r>
      <w:r>
        <w:rPr>
          <w:rFonts w:hint="eastAsia" w:ascii="宋体" w:hAnsi="宋体"/>
          <w:kern w:val="0"/>
          <w:sz w:val="24"/>
          <w:szCs w:val="24"/>
        </w:rPr>
        <w:t>经营支出：指事业单位在专业业务活动及其辅助活动之外开展非独立核算经营活动发生的支出。</w:t>
      </w:r>
    </w:p>
    <w:p>
      <w:pPr>
        <w:shd w:val="clear" w:color="auto" w:fill="FFFFFF"/>
        <w:spacing w:before="100" w:line="520" w:lineRule="exact"/>
        <w:rPr>
          <w:rFonts w:eastAsia="Times New Roman" w:cs="Times New Roman"/>
          <w:kern w:val="0"/>
          <w:sz w:val="24"/>
          <w:szCs w:val="24"/>
        </w:rPr>
      </w:pPr>
      <w:r>
        <w:rPr>
          <w:rFonts w:ascii="宋体" w:hAnsi="宋体"/>
          <w:kern w:val="0"/>
          <w:sz w:val="24"/>
          <w:szCs w:val="24"/>
        </w:rPr>
        <w:t>14.</w:t>
      </w:r>
      <w:r>
        <w:rPr>
          <w:rFonts w:hint="eastAsia" w:ascii="宋体" w:hAnsi="宋体"/>
          <w:kern w:val="0"/>
          <w:sz w:val="24"/>
          <w:szCs w:val="24"/>
        </w:rPr>
        <w:t>对附属单位补助支出：指事业单位发生的用非财政预算资金对附属单位的补助支出。</w:t>
      </w:r>
    </w:p>
    <w:p>
      <w:pPr>
        <w:shd w:val="clear" w:color="auto" w:fill="FFFFFF"/>
        <w:spacing w:before="100" w:line="520" w:lineRule="exact"/>
        <w:rPr>
          <w:rFonts w:eastAsia="Times New Roman" w:cs="Times New Roman"/>
          <w:kern w:val="0"/>
          <w:sz w:val="24"/>
          <w:szCs w:val="24"/>
        </w:rPr>
      </w:pPr>
      <w:r>
        <w:rPr>
          <w:rFonts w:ascii="宋体" w:hAnsi="宋体"/>
          <w:kern w:val="0"/>
          <w:sz w:val="24"/>
          <w:szCs w:val="24"/>
        </w:rPr>
        <w:t>15.</w:t>
      </w:r>
      <w:r>
        <w:rPr>
          <w:rFonts w:hint="eastAsia" w:ascii="宋体" w:hAnsi="宋体"/>
          <w:kern w:val="0"/>
          <w:sz w:val="24"/>
          <w:szCs w:val="24"/>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hd w:val="clear" w:color="auto" w:fill="FFFFFF"/>
        <w:spacing w:before="100" w:line="520" w:lineRule="exact"/>
        <w:rPr>
          <w:rFonts w:eastAsia="Times New Roman" w:cs="Times New Roman"/>
          <w:kern w:val="0"/>
          <w:sz w:val="24"/>
          <w:szCs w:val="24"/>
        </w:rPr>
      </w:pPr>
      <w:r>
        <w:rPr>
          <w:rFonts w:ascii="宋体" w:hAnsi="宋体"/>
          <w:kern w:val="0"/>
          <w:sz w:val="24"/>
          <w:szCs w:val="24"/>
        </w:rPr>
        <w:t>16.</w:t>
      </w:r>
      <w:r>
        <w:rPr>
          <w:rFonts w:hint="eastAsia" w:ascii="宋体" w:hAnsi="宋体"/>
          <w:kern w:val="0"/>
          <w:sz w:val="24"/>
          <w:szCs w:val="2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hd w:val="clear" w:color="auto" w:fill="FFFFFF"/>
        <w:spacing w:before="100" w:line="520" w:lineRule="exact"/>
        <w:rPr>
          <w:rFonts w:ascii="宋体"/>
          <w:kern w:val="0"/>
          <w:sz w:val="24"/>
          <w:szCs w:val="24"/>
        </w:rPr>
      </w:pPr>
      <w:r>
        <w:rPr>
          <w:rFonts w:hint="eastAsia" w:ascii="宋体" w:hAnsi="宋体"/>
          <w:kern w:val="0"/>
          <w:sz w:val="24"/>
          <w:szCs w:val="24"/>
        </w:rPr>
        <w:t>本单位支出功能分类说明。</w:t>
      </w:r>
    </w:p>
    <w:p>
      <w:pPr>
        <w:shd w:val="clear" w:color="auto" w:fill="FFFFFF"/>
        <w:spacing w:before="100" w:line="520" w:lineRule="exact"/>
        <w:rPr>
          <w:rFonts w:ascii="宋体"/>
          <w:kern w:val="0"/>
          <w:sz w:val="24"/>
          <w:szCs w:val="24"/>
        </w:rPr>
      </w:pPr>
      <w:r>
        <w:rPr>
          <w:rFonts w:ascii="宋体" w:hAnsi="宋体"/>
          <w:kern w:val="0"/>
          <w:sz w:val="24"/>
          <w:szCs w:val="24"/>
        </w:rPr>
        <w:t>201</w:t>
      </w:r>
      <w:r>
        <w:rPr>
          <w:rFonts w:hint="eastAsia" w:ascii="宋体" w:hAnsi="宋体"/>
          <w:kern w:val="0"/>
          <w:sz w:val="24"/>
          <w:szCs w:val="24"/>
        </w:rPr>
        <w:t>类</w:t>
      </w:r>
      <w:r>
        <w:rPr>
          <w:rFonts w:ascii="宋体"/>
          <w:kern w:val="0"/>
          <w:sz w:val="24"/>
          <w:szCs w:val="24"/>
        </w:rPr>
        <w:t>0</w:t>
      </w:r>
      <w:r>
        <w:rPr>
          <w:rFonts w:ascii="宋体" w:hAnsi="宋体"/>
          <w:kern w:val="0"/>
          <w:sz w:val="24"/>
          <w:szCs w:val="24"/>
        </w:rPr>
        <w:t>6</w:t>
      </w:r>
      <w:r>
        <w:rPr>
          <w:rFonts w:hint="eastAsia" w:ascii="宋体" w:hAnsi="宋体"/>
          <w:kern w:val="0"/>
          <w:sz w:val="24"/>
          <w:szCs w:val="24"/>
        </w:rPr>
        <w:t>款</w:t>
      </w:r>
      <w:r>
        <w:rPr>
          <w:rFonts w:ascii="宋体" w:hAnsi="宋体"/>
          <w:kern w:val="0"/>
          <w:sz w:val="24"/>
          <w:szCs w:val="24"/>
        </w:rPr>
        <w:t>01</w:t>
      </w:r>
      <w:r>
        <w:rPr>
          <w:rFonts w:hint="eastAsia" w:ascii="宋体" w:hAnsi="宋体"/>
          <w:kern w:val="0"/>
          <w:sz w:val="24"/>
          <w:szCs w:val="24"/>
        </w:rPr>
        <w:t>项行政运行是指：为保障本单位机构运行用于购买货物和服务的各项资金，包括办公及印刷费、邮电费、差旅费、日常维修费、专用材料办公用房水电费</w:t>
      </w:r>
      <w:r>
        <w:rPr>
          <w:rFonts w:hint="eastAsia" w:ascii="宋体" w:hAnsi="宋体"/>
          <w:kern w:val="0"/>
          <w:sz w:val="24"/>
          <w:szCs w:val="24"/>
          <w:lang w:eastAsia="zh-CN"/>
        </w:rPr>
        <w:t>以及</w:t>
      </w:r>
      <w:r>
        <w:rPr>
          <w:rFonts w:hint="eastAsia" w:ascii="宋体" w:hAnsi="宋体"/>
          <w:kern w:val="0"/>
          <w:sz w:val="24"/>
          <w:szCs w:val="24"/>
        </w:rPr>
        <w:t>其他费用。</w:t>
      </w:r>
    </w:p>
    <w:p>
      <w:pPr>
        <w:shd w:val="clear" w:color="auto" w:fill="FFFFFF"/>
        <w:spacing w:before="100" w:line="520" w:lineRule="exact"/>
        <w:rPr>
          <w:rFonts w:ascii="宋体"/>
          <w:kern w:val="0"/>
          <w:sz w:val="24"/>
          <w:szCs w:val="24"/>
        </w:rPr>
      </w:pPr>
      <w:r>
        <w:rPr>
          <w:rFonts w:ascii="宋体" w:hAnsi="宋体"/>
          <w:kern w:val="0"/>
          <w:sz w:val="24"/>
          <w:szCs w:val="24"/>
        </w:rPr>
        <w:t>208</w:t>
      </w:r>
      <w:r>
        <w:rPr>
          <w:rFonts w:hint="eastAsia" w:ascii="宋体" w:hAnsi="宋体"/>
          <w:kern w:val="0"/>
          <w:sz w:val="24"/>
          <w:szCs w:val="24"/>
        </w:rPr>
        <w:t>类</w:t>
      </w:r>
      <w:r>
        <w:rPr>
          <w:rFonts w:ascii="宋体" w:hAnsi="宋体"/>
          <w:kern w:val="0"/>
          <w:sz w:val="24"/>
          <w:szCs w:val="24"/>
        </w:rPr>
        <w:t>05</w:t>
      </w:r>
      <w:r>
        <w:rPr>
          <w:rFonts w:hint="eastAsia" w:ascii="宋体" w:hAnsi="宋体"/>
          <w:kern w:val="0"/>
          <w:sz w:val="24"/>
          <w:szCs w:val="24"/>
        </w:rPr>
        <w:t>款</w:t>
      </w:r>
      <w:r>
        <w:rPr>
          <w:rFonts w:ascii="宋体" w:hAnsi="宋体"/>
          <w:kern w:val="0"/>
          <w:sz w:val="24"/>
          <w:szCs w:val="24"/>
        </w:rPr>
        <w:t>05</w:t>
      </w:r>
      <w:r>
        <w:rPr>
          <w:rFonts w:hint="eastAsia" w:ascii="宋体" w:hAnsi="宋体"/>
          <w:kern w:val="0"/>
          <w:sz w:val="24"/>
          <w:szCs w:val="24"/>
        </w:rPr>
        <w:t>项</w:t>
      </w:r>
      <w:r>
        <w:rPr>
          <w:rFonts w:ascii="宋体"/>
          <w:kern w:val="0"/>
          <w:sz w:val="24"/>
          <w:szCs w:val="24"/>
        </w:rPr>
        <w:t> </w:t>
      </w:r>
      <w:r>
        <w:rPr>
          <w:rFonts w:hint="eastAsia" w:ascii="宋体" w:hAnsi="宋体"/>
          <w:kern w:val="0"/>
          <w:sz w:val="24"/>
          <w:szCs w:val="24"/>
        </w:rPr>
        <w:t>机关事业单位基本养老保险缴费支出是指：反映机关事业单位实施养老保险制度由单位缴纳的基本养老保险费支出。</w:t>
      </w:r>
    </w:p>
    <w:p>
      <w:pPr>
        <w:shd w:val="clear" w:color="auto" w:fill="FFFFFF"/>
        <w:spacing w:before="100" w:line="520" w:lineRule="exact"/>
        <w:rPr>
          <w:rFonts w:eastAsia="Times New Roman" w:cs="Times New Roman"/>
          <w:kern w:val="0"/>
          <w:sz w:val="24"/>
          <w:szCs w:val="24"/>
        </w:rPr>
      </w:pPr>
    </w:p>
    <w:p>
      <w:pPr>
        <w:shd w:val="clear" w:color="auto" w:fill="FFFFFF"/>
        <w:spacing w:before="100" w:line="520" w:lineRule="exact"/>
        <w:rPr>
          <w:rFonts w:eastAsia="Times New Roman" w:cs="Times New Roman"/>
          <w:kern w:val="0"/>
          <w:sz w:val="24"/>
          <w:szCs w:val="24"/>
        </w:rPr>
      </w:pPr>
      <w:r>
        <w:rPr>
          <w:rFonts w:ascii="宋体" w:hAnsi="宋体"/>
          <w:kern w:val="0"/>
          <w:sz w:val="24"/>
          <w:szCs w:val="24"/>
        </w:rPr>
        <w:t xml:space="preserve">    </w:t>
      </w:r>
      <w:r>
        <w:rPr>
          <w:rFonts w:hint="eastAsia" w:ascii="宋体" w:hAnsi="宋体"/>
          <w:kern w:val="0"/>
          <w:sz w:val="24"/>
          <w:szCs w:val="24"/>
        </w:rPr>
        <w:t>其他有关说明内容。</w:t>
      </w:r>
    </w:p>
    <w:p>
      <w:pPr>
        <w:shd w:val="clear" w:color="auto" w:fill="FFFFFF"/>
        <w:spacing w:before="100" w:after="240"/>
        <w:jc w:val="left"/>
        <w:rPr>
          <w:rFonts w:eastAsia="Times New Roman" w:cs="Times New Roman"/>
          <w:kern w:val="0"/>
          <w:sz w:val="24"/>
          <w:szCs w:val="24"/>
        </w:rPr>
      </w:pPr>
    </w:p>
    <w:p>
      <w:pPr>
        <w:shd w:val="clear" w:color="auto" w:fill="FFFFFF"/>
        <w:spacing w:before="100" w:after="240"/>
        <w:jc w:val="center"/>
        <w:rPr>
          <w:rFonts w:eastAsia="Times New Roman" w:cs="Times New Roman"/>
          <w:b/>
          <w:bCs/>
          <w:kern w:val="0"/>
          <w:sz w:val="24"/>
          <w:szCs w:val="24"/>
        </w:rPr>
      </w:pPr>
      <w:r>
        <w:rPr>
          <w:rFonts w:hint="eastAsia" w:ascii="宋体" w:hAnsi="宋体"/>
          <w:b/>
          <w:bCs/>
          <w:kern w:val="0"/>
          <w:sz w:val="24"/>
          <w:szCs w:val="24"/>
        </w:rPr>
        <w:t>第四部分</w:t>
      </w:r>
      <w:r>
        <w:rPr>
          <w:rFonts w:ascii="宋体" w:hAnsi="宋体"/>
          <w:b/>
          <w:bCs/>
          <w:kern w:val="0"/>
          <w:sz w:val="24"/>
          <w:szCs w:val="24"/>
        </w:rPr>
        <w:t xml:space="preserve">  </w:t>
      </w:r>
      <w:r>
        <w:rPr>
          <w:rFonts w:hint="eastAsia" w:ascii="宋体" w:hAnsi="宋体"/>
          <w:b/>
          <w:bCs/>
          <w:kern w:val="0"/>
          <w:sz w:val="24"/>
          <w:szCs w:val="24"/>
        </w:rPr>
        <w:t>部门决算公开的</w:t>
      </w:r>
      <w:r>
        <w:rPr>
          <w:rFonts w:ascii="宋体" w:hAnsi="宋体"/>
          <w:b/>
          <w:bCs/>
          <w:kern w:val="0"/>
          <w:sz w:val="24"/>
          <w:szCs w:val="24"/>
        </w:rPr>
        <w:t>8</w:t>
      </w:r>
      <w:r>
        <w:rPr>
          <w:rFonts w:hint="eastAsia" w:ascii="宋体" w:hAnsi="宋体"/>
          <w:b/>
          <w:bCs/>
          <w:kern w:val="0"/>
          <w:sz w:val="24"/>
          <w:szCs w:val="24"/>
        </w:rPr>
        <w:t>张报表（见附表）</w:t>
      </w:r>
    </w:p>
    <w:p>
      <w:pPr>
        <w:spacing w:line="540" w:lineRule="exact"/>
        <w:ind w:firstLine="480"/>
        <w:rPr>
          <w:rFonts w:eastAsia="Times New Roman" w:cs="Times New Roman"/>
          <w:kern w:val="0"/>
          <w:sz w:val="24"/>
          <w:szCs w:val="24"/>
        </w:rPr>
      </w:pPr>
      <w:r>
        <w:rPr>
          <w:rFonts w:hint="eastAsia" w:ascii="宋体" w:hAnsi="宋体"/>
          <w:kern w:val="0"/>
          <w:sz w:val="24"/>
          <w:szCs w:val="24"/>
        </w:rPr>
        <w:t>一、《收入支出决算总表》</w:t>
      </w:r>
    </w:p>
    <w:p>
      <w:pPr>
        <w:spacing w:line="540" w:lineRule="exact"/>
        <w:ind w:firstLine="480"/>
        <w:rPr>
          <w:rFonts w:eastAsia="Times New Roman" w:cs="Times New Roman"/>
          <w:kern w:val="0"/>
          <w:sz w:val="24"/>
          <w:szCs w:val="24"/>
        </w:rPr>
      </w:pPr>
      <w:r>
        <w:rPr>
          <w:rFonts w:hint="eastAsia" w:ascii="宋体" w:hAnsi="宋体"/>
          <w:kern w:val="0"/>
          <w:sz w:val="24"/>
          <w:szCs w:val="24"/>
        </w:rPr>
        <w:t>二、《收入决算表》</w:t>
      </w:r>
    </w:p>
    <w:p>
      <w:pPr>
        <w:spacing w:line="540" w:lineRule="exact"/>
        <w:ind w:firstLine="480"/>
        <w:rPr>
          <w:rFonts w:eastAsia="Times New Roman" w:cs="Times New Roman"/>
          <w:kern w:val="0"/>
          <w:sz w:val="24"/>
          <w:szCs w:val="24"/>
        </w:rPr>
      </w:pPr>
      <w:r>
        <w:rPr>
          <w:rFonts w:hint="eastAsia" w:ascii="宋体" w:hAnsi="宋体"/>
          <w:kern w:val="0"/>
          <w:sz w:val="24"/>
          <w:szCs w:val="24"/>
        </w:rPr>
        <w:t>三、《支出决算表》</w:t>
      </w:r>
    </w:p>
    <w:p>
      <w:pPr>
        <w:spacing w:line="540" w:lineRule="exact"/>
        <w:ind w:firstLine="480"/>
        <w:rPr>
          <w:rFonts w:eastAsia="Times New Roman" w:cs="Times New Roman"/>
          <w:kern w:val="0"/>
          <w:sz w:val="24"/>
          <w:szCs w:val="24"/>
        </w:rPr>
      </w:pPr>
      <w:r>
        <w:rPr>
          <w:rFonts w:hint="eastAsia" w:ascii="宋体" w:hAnsi="宋体"/>
          <w:kern w:val="0"/>
          <w:sz w:val="24"/>
          <w:szCs w:val="24"/>
        </w:rPr>
        <w:t>四、《财政拨款收入支出决算总表》</w:t>
      </w:r>
    </w:p>
    <w:p>
      <w:pPr>
        <w:spacing w:line="540" w:lineRule="exact"/>
        <w:ind w:firstLine="480"/>
        <w:rPr>
          <w:rFonts w:eastAsia="Times New Roman" w:cs="Times New Roman"/>
          <w:kern w:val="0"/>
          <w:sz w:val="24"/>
          <w:szCs w:val="24"/>
        </w:rPr>
      </w:pPr>
      <w:r>
        <w:rPr>
          <w:rFonts w:hint="eastAsia" w:ascii="宋体" w:hAnsi="宋体"/>
          <w:kern w:val="0"/>
          <w:sz w:val="24"/>
          <w:szCs w:val="24"/>
        </w:rPr>
        <w:t>五、《一般公共预算财政拨款支出决算表》</w:t>
      </w:r>
    </w:p>
    <w:p>
      <w:pPr>
        <w:spacing w:line="540" w:lineRule="exact"/>
        <w:ind w:firstLine="480"/>
        <w:rPr>
          <w:rFonts w:eastAsia="Times New Roman" w:cs="Times New Roman"/>
          <w:kern w:val="0"/>
          <w:sz w:val="24"/>
          <w:szCs w:val="24"/>
        </w:rPr>
      </w:pPr>
      <w:r>
        <w:rPr>
          <w:rFonts w:hint="eastAsia" w:ascii="宋体" w:hAnsi="宋体"/>
          <w:kern w:val="0"/>
          <w:sz w:val="24"/>
          <w:szCs w:val="24"/>
        </w:rPr>
        <w:t>六、《一般公共预算财政拨款基本支出决算表》</w:t>
      </w:r>
    </w:p>
    <w:p>
      <w:pPr>
        <w:spacing w:line="540" w:lineRule="exact"/>
        <w:ind w:firstLine="480"/>
        <w:rPr>
          <w:rFonts w:eastAsia="Times New Roman" w:cs="Times New Roman"/>
          <w:kern w:val="0"/>
          <w:sz w:val="24"/>
          <w:szCs w:val="24"/>
        </w:rPr>
      </w:pPr>
      <w:r>
        <w:rPr>
          <w:rFonts w:hint="eastAsia" w:ascii="宋体" w:hAnsi="宋体"/>
          <w:kern w:val="0"/>
          <w:sz w:val="24"/>
          <w:szCs w:val="24"/>
        </w:rPr>
        <w:t>七、《一般公共预算财政拨款“三公”经费支出决算表》</w:t>
      </w:r>
    </w:p>
    <w:p>
      <w:pPr>
        <w:spacing w:line="540" w:lineRule="exact"/>
        <w:ind w:firstLine="480"/>
        <w:rPr>
          <w:rFonts w:eastAsia="Times New Roman" w:cs="Times New Roman"/>
          <w:kern w:val="0"/>
          <w:sz w:val="24"/>
          <w:szCs w:val="24"/>
        </w:rPr>
      </w:pPr>
      <w:r>
        <w:rPr>
          <w:rFonts w:hint="eastAsia" w:ascii="宋体" w:hAnsi="宋体"/>
          <w:kern w:val="0"/>
          <w:sz w:val="24"/>
          <w:szCs w:val="24"/>
        </w:rPr>
        <w:t>八、《政府性基金预算财政拨款收入支出决算表》</w:t>
      </w:r>
      <w:r>
        <w:rPr>
          <w:rFonts w:hint="eastAsia" w:ascii="宋体" w:hAnsi="宋体"/>
          <w:sz w:val="24"/>
          <w:szCs w:val="24"/>
        </w:rPr>
        <w:t>（本表为空表）本年无政府性基金收入</w:t>
      </w:r>
    </w:p>
    <w:p>
      <w:pPr>
        <w:rPr>
          <w:rFonts w:eastAsia="Times New Roman" w:cs="Times New Roman"/>
          <w:sz w:val="24"/>
          <w:szCs w:val="24"/>
        </w:rPr>
      </w:pPr>
    </w:p>
    <w:p>
      <w:pPr>
        <w:jc w:val="left"/>
        <w:rPr>
          <w:rFonts w:ascii="宋体"/>
          <w:kern w:val="0"/>
          <w:sz w:val="24"/>
          <w:szCs w:val="24"/>
          <w:lang w:val="zh-CN"/>
        </w:rPr>
      </w:pPr>
    </w:p>
    <w:sectPr>
      <w:headerReference r:id="rId3" w:type="default"/>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eastAsia="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20F691"/>
    <w:multiLevelType w:val="multilevel"/>
    <w:tmpl w:val="3B20F691"/>
    <w:lvl w:ilvl="0" w:tentative="0">
      <w:start w:val="1"/>
      <w:numFmt w:val="chineseCounting"/>
      <w:suff w:val="nothing"/>
      <w:lvlText w:val="%1、"/>
      <w:lvlJc w:val="left"/>
      <w:rPr>
        <w:rFonts w:ascii="Times New Roman" w:hAnsi="Times New Roman" w:eastAsia="宋体" w:cs="Times New Roman"/>
      </w:rPr>
    </w:lvl>
    <w:lvl w:ilvl="1" w:tentative="0">
      <w:start w:val="1"/>
      <w:numFmt w:val="decimal"/>
      <w:lvlText w:val="、"/>
      <w:lvlJc w:val="left"/>
      <w:rPr>
        <w:rFonts w:ascii="Times New Roman" w:hAnsi="Times New Roman" w:eastAsia="宋体" w:cs="Times New Roman"/>
      </w:rPr>
    </w:lvl>
    <w:lvl w:ilvl="2" w:tentative="0">
      <w:start w:val="1"/>
      <w:numFmt w:val="decimal"/>
      <w:lvlText w:val="、"/>
      <w:lvlJc w:val="left"/>
      <w:rPr>
        <w:rFonts w:ascii="Times New Roman" w:hAnsi="Times New Roman" w:eastAsia="宋体" w:cs="Times New Roman"/>
      </w:rPr>
    </w:lvl>
    <w:lvl w:ilvl="3" w:tentative="0">
      <w:start w:val="1"/>
      <w:numFmt w:val="decimal"/>
      <w:lvlText w:val="、"/>
      <w:lvlJc w:val="left"/>
      <w:rPr>
        <w:rFonts w:ascii="Times New Roman" w:hAnsi="Times New Roman" w:eastAsia="宋体" w:cs="Times New Roman"/>
      </w:rPr>
    </w:lvl>
    <w:lvl w:ilvl="4" w:tentative="0">
      <w:start w:val="1"/>
      <w:numFmt w:val="decimal"/>
      <w:lvlText w:val="、"/>
      <w:lvlJc w:val="left"/>
      <w:rPr>
        <w:rFonts w:ascii="Times New Roman" w:hAnsi="Times New Roman" w:eastAsia="宋体" w:cs="Times New Roman"/>
      </w:rPr>
    </w:lvl>
    <w:lvl w:ilvl="5" w:tentative="0">
      <w:start w:val="1"/>
      <w:numFmt w:val="decimal"/>
      <w:lvlText w:val="、"/>
      <w:lvlJc w:val="left"/>
      <w:rPr>
        <w:rFonts w:ascii="Times New Roman" w:hAnsi="Times New Roman" w:eastAsia="宋体" w:cs="Times New Roman"/>
      </w:rPr>
    </w:lvl>
    <w:lvl w:ilvl="6" w:tentative="0">
      <w:start w:val="1"/>
      <w:numFmt w:val="decimal"/>
      <w:lvlText w:val="、"/>
      <w:lvlJc w:val="left"/>
      <w:rPr>
        <w:rFonts w:ascii="Times New Roman" w:hAnsi="Times New Roman" w:eastAsia="宋体" w:cs="Times New Roman"/>
      </w:rPr>
    </w:lvl>
    <w:lvl w:ilvl="7" w:tentative="0">
      <w:start w:val="1"/>
      <w:numFmt w:val="decimal"/>
      <w:lvlText w:val="、"/>
      <w:lvlJc w:val="left"/>
      <w:rPr>
        <w:rFonts w:ascii="Times New Roman" w:hAnsi="Times New Roman" w:eastAsia="宋体" w:cs="Times New Roman"/>
      </w:rPr>
    </w:lvl>
    <w:lvl w:ilvl="8" w:tentative="0">
      <w:start w:val="1"/>
      <w:numFmt w:val="decimal"/>
      <w:lvlText w:val="、"/>
      <w:lvlJc w:val="left"/>
      <w:rPr>
        <w:rFonts w:ascii="Times New Roman" w:hAnsi="Times New Roman" w:eastAsia="宋体"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C78"/>
    <w:rsid w:val="000257A4"/>
    <w:rsid w:val="000A14A7"/>
    <w:rsid w:val="00200E9E"/>
    <w:rsid w:val="00302F03"/>
    <w:rsid w:val="00397296"/>
    <w:rsid w:val="00542BA2"/>
    <w:rsid w:val="00797032"/>
    <w:rsid w:val="00804BC1"/>
    <w:rsid w:val="00821811"/>
    <w:rsid w:val="00893C78"/>
    <w:rsid w:val="009C2EF2"/>
    <w:rsid w:val="00CA583D"/>
    <w:rsid w:val="00DE4306"/>
    <w:rsid w:val="00F064AA"/>
    <w:rsid w:val="00FC7BB4"/>
    <w:rsid w:val="2AF67223"/>
    <w:rsid w:val="3027048C"/>
    <w:rsid w:val="57137B4B"/>
    <w:rsid w:val="66943A74"/>
    <w:rsid w:val="73B22BE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efaultImageDpi w14:val="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9" w:name="heading 2"/>
    <w:lsdException w:qFormat="1" w:uiPriority="99" w:name="heading 3"/>
    <w:lsdException w:qFormat="1" w:uiPriority="99" w:name="heading 4"/>
    <w:lsdException w:qFormat="1" w:uiPriority="99" w:name="heading 5"/>
    <w:lsdException w:qFormat="1" w:uiPriority="99" w:name="heading 6"/>
    <w:lsdException w:qFormat="1" w:uiPriority="99" w:name="heading 7"/>
    <w:lsdException w:qFormat="1" w:uiPriority="99" w:name="heading 8"/>
    <w:lsdException w:qFormat="1" w:uiPriority="99"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iPriority="99" w:semiHidden="0" w:name="header"/>
    <w:lsdException w:qFormat="1" w:uiPriority="99" w:semiHidden="0" w:name="footer"/>
    <w:lsdException w:qFormat="1" w:unhideWhenUsed="0" w:uiPriority="99" w:semiHidden="0" w:name="index heading"/>
    <w:lsdException w:qFormat="1" w:uiPriority="99"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uiPriority="1"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uiPriority="99" w:name="Normal Table"/>
    <w:lsdException w:qFormat="1" w:unhideWhenUsed="0" w:uiPriority="99" w:semiHidden="0"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nhideWhenUsed="0" w:uiPriority="99" w:semiHidden="0" w:name="Balloon Text"/>
    <w:lsdException w:qFormat="1" w:unhideWhenUsed="0" w:uiPriority="99" w:semiHidden="0" w:name="Table Grid"/>
    <w:lsdException w:qFormat="1"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宋体"/>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rFonts w:cs="Times New Roman"/>
      <w:b/>
      <w:bCs/>
    </w:rPr>
  </w:style>
  <w:style w:type="character" w:customStyle="1" w:styleId="7">
    <w:name w:val="页眉 Char"/>
    <w:basedOn w:val="5"/>
    <w:unhideWhenUsed/>
    <w:locked/>
    <w:uiPriority w:val="99"/>
    <w:rPr>
      <w:rFonts w:cs="Times New Roman"/>
      <w:sz w:val="18"/>
      <w:szCs w:val="18"/>
    </w:rPr>
  </w:style>
  <w:style w:type="character" w:customStyle="1" w:styleId="8">
    <w:name w:val="页眉 Char1"/>
    <w:basedOn w:val="5"/>
    <w:link w:val="3"/>
    <w:unhideWhenUsed/>
    <w:qFormat/>
    <w:locked/>
    <w:uiPriority w:val="99"/>
    <w:rPr>
      <w:rFonts w:ascii="宋体" w:cs="宋体"/>
      <w:sz w:val="18"/>
      <w:szCs w:val="18"/>
    </w:rPr>
  </w:style>
  <w:style w:type="character" w:customStyle="1" w:styleId="9">
    <w:name w:val="页脚 Char1"/>
    <w:basedOn w:val="5"/>
    <w:unhideWhenUsed/>
    <w:qFormat/>
    <w:locked/>
    <w:uiPriority w:val="99"/>
    <w:rPr>
      <w:rFonts w:ascii="宋体" w:cs="宋体"/>
      <w:sz w:val="18"/>
      <w:szCs w:val="18"/>
    </w:rPr>
  </w:style>
  <w:style w:type="character" w:customStyle="1" w:styleId="10">
    <w:name w:val="页脚 Char"/>
    <w:basedOn w:val="5"/>
    <w:link w:val="2"/>
    <w:unhideWhenUsed/>
    <w:locked/>
    <w:uiPriority w:val="99"/>
    <w:rPr>
      <w:rFonts w:cs="Times New Roman"/>
      <w:sz w:val="18"/>
      <w:szCs w:val="18"/>
    </w:rPr>
  </w:style>
  <w:style w:type="character" w:customStyle="1" w:styleId="11">
    <w:name w:val="页眉 字符"/>
    <w:basedOn w:val="5"/>
    <w:semiHidden/>
    <w:uiPriority w:val="99"/>
    <w:rPr>
      <w:rFonts w:cs="宋体"/>
      <w:sz w:val="18"/>
      <w:szCs w:val="18"/>
    </w:rPr>
  </w:style>
  <w:style w:type="character" w:customStyle="1" w:styleId="12">
    <w:name w:val="页眉 字符2"/>
    <w:basedOn w:val="5"/>
    <w:semiHidden/>
    <w:uiPriority w:val="99"/>
    <w:rPr>
      <w:rFonts w:cs="宋体"/>
      <w:sz w:val="18"/>
      <w:szCs w:val="18"/>
    </w:rPr>
  </w:style>
  <w:style w:type="character" w:customStyle="1" w:styleId="13">
    <w:name w:val="页脚 字符"/>
    <w:basedOn w:val="5"/>
    <w:semiHidden/>
    <w:uiPriority w:val="99"/>
    <w:rPr>
      <w:rFonts w:cs="宋体"/>
      <w:sz w:val="18"/>
      <w:szCs w:val="18"/>
    </w:rPr>
  </w:style>
  <w:style w:type="character" w:customStyle="1" w:styleId="14">
    <w:name w:val="页脚 字符2"/>
    <w:basedOn w:val="5"/>
    <w:semiHidden/>
    <w:uiPriority w:val="99"/>
    <w:rPr>
      <w:rFonts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1145</Words>
  <Characters>6532</Characters>
  <Lines>54</Lines>
  <Paragraphs>15</Paragraphs>
  <TotalTime>2</TotalTime>
  <ScaleCrop>false</ScaleCrop>
  <LinksUpToDate>false</LinksUpToDate>
  <CharactersWithSpaces>7662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2019-09-24T11:03:00Z</dcterms:created>
  <dc:creator>Administrator</dc:creator>
  <cp:lastModifiedBy>Administrator</cp:lastModifiedBy>
  <dcterms:modified xsi:type="dcterms:W3CDTF">2025-02-08T03:42:47Z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